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C66D8" w14:textId="77777777" w:rsidR="00D963F2" w:rsidRPr="00306D53" w:rsidRDefault="00C54D46" w:rsidP="00D963F2">
      <w:pPr>
        <w:jc w:val="center"/>
        <w:rPr>
          <w:b/>
        </w:rPr>
      </w:pPr>
      <w:r w:rsidRPr="00306D53">
        <w:rPr>
          <w:b/>
        </w:rPr>
        <w:t>Balance of State HMIS Assessment Survey</w:t>
      </w:r>
    </w:p>
    <w:p w14:paraId="7B413662" w14:textId="77777777" w:rsidR="00C54D46" w:rsidRPr="00306D53" w:rsidRDefault="007A03C8" w:rsidP="00D963F2">
      <w:pPr>
        <w:jc w:val="center"/>
        <w:rPr>
          <w:b/>
        </w:rPr>
      </w:pPr>
      <w:r w:rsidRPr="00306D53">
        <w:rPr>
          <w:b/>
        </w:rPr>
        <w:t>PROVIDERS SERVING BALANCE OF STATE</w:t>
      </w:r>
    </w:p>
    <w:p w14:paraId="0E2E9084" w14:textId="77777777" w:rsidR="00306D53" w:rsidRDefault="00306D53" w:rsidP="00D963F2">
      <w:pPr>
        <w:jc w:val="center"/>
      </w:pPr>
    </w:p>
    <w:p w14:paraId="2B6ACF54" w14:textId="3B2EDADB" w:rsidR="00306D53" w:rsidRPr="00D0112E" w:rsidRDefault="00E6478F" w:rsidP="00D0112E">
      <w:pPr>
        <w:pStyle w:val="ListParagraph"/>
        <w:numPr>
          <w:ilvl w:val="0"/>
          <w:numId w:val="1"/>
        </w:numPr>
        <w:ind w:left="360"/>
        <w:rPr>
          <w:rFonts w:ascii="Arial Narrow" w:hAnsi="Arial Narrow"/>
        </w:rPr>
      </w:pPr>
      <w:r w:rsidRPr="00D0112E">
        <w:rPr>
          <w:rFonts w:ascii="Arial Narrow" w:hAnsi="Arial Narrow"/>
        </w:rPr>
        <w:t xml:space="preserve">62 Surveys received (53 serving Balance of State </w:t>
      </w:r>
      <w:proofErr w:type="spellStart"/>
      <w:r w:rsidRPr="00D0112E">
        <w:rPr>
          <w:rFonts w:ascii="Arial Narrow" w:hAnsi="Arial Narrow"/>
        </w:rPr>
        <w:t>CoC</w:t>
      </w:r>
      <w:proofErr w:type="spellEnd"/>
      <w:r w:rsidRPr="00D0112E">
        <w:rPr>
          <w:rFonts w:ascii="Arial Narrow" w:hAnsi="Arial Narrow"/>
        </w:rPr>
        <w:t xml:space="preserve"> only; 9 serving both Balance of State </w:t>
      </w:r>
      <w:proofErr w:type="spellStart"/>
      <w:r w:rsidRPr="00D0112E">
        <w:rPr>
          <w:rFonts w:ascii="Arial Narrow" w:hAnsi="Arial Narrow"/>
        </w:rPr>
        <w:t>CoC</w:t>
      </w:r>
      <w:proofErr w:type="spellEnd"/>
      <w:r w:rsidRPr="00D0112E">
        <w:rPr>
          <w:rFonts w:ascii="Arial Narrow" w:hAnsi="Arial Narrow"/>
        </w:rPr>
        <w:t xml:space="preserve"> and Chittenden </w:t>
      </w:r>
      <w:proofErr w:type="spellStart"/>
      <w:r w:rsidRPr="00D0112E">
        <w:rPr>
          <w:rFonts w:ascii="Arial Narrow" w:hAnsi="Arial Narrow"/>
        </w:rPr>
        <w:t>CoC</w:t>
      </w:r>
      <w:proofErr w:type="spellEnd"/>
      <w:r w:rsidRPr="00D0112E">
        <w:rPr>
          <w:rFonts w:ascii="Arial Narrow" w:hAnsi="Arial Narrow"/>
        </w:rPr>
        <w:t>)</w:t>
      </w:r>
    </w:p>
    <w:p w14:paraId="0F8ED8FB" w14:textId="1AB88D4B" w:rsidR="00E6478F" w:rsidRPr="00D0112E" w:rsidRDefault="00E6478F" w:rsidP="00D0112E">
      <w:pPr>
        <w:pStyle w:val="ListParagraph"/>
        <w:numPr>
          <w:ilvl w:val="0"/>
          <w:numId w:val="1"/>
        </w:numPr>
        <w:ind w:left="360"/>
        <w:rPr>
          <w:rFonts w:ascii="Arial Narrow" w:hAnsi="Arial Narrow"/>
        </w:rPr>
      </w:pPr>
      <w:r w:rsidRPr="00D0112E">
        <w:rPr>
          <w:rFonts w:ascii="Arial Narrow" w:hAnsi="Arial Narrow"/>
        </w:rPr>
        <w:t xml:space="preserve">Respondents served a variety of roles </w:t>
      </w:r>
      <w:r w:rsidR="0050006D">
        <w:rPr>
          <w:rFonts w:ascii="Arial Narrow" w:hAnsi="Arial Narrow"/>
        </w:rPr>
        <w:t>at</w:t>
      </w:r>
      <w:r w:rsidR="0050006D" w:rsidRPr="00D0112E">
        <w:rPr>
          <w:rFonts w:ascii="Arial Narrow" w:hAnsi="Arial Narrow"/>
        </w:rPr>
        <w:t xml:space="preserve"> </w:t>
      </w:r>
      <w:r w:rsidRPr="00D0112E">
        <w:rPr>
          <w:rFonts w:ascii="Arial Narrow" w:hAnsi="Arial Narrow"/>
        </w:rPr>
        <w:t xml:space="preserve">their </w:t>
      </w:r>
      <w:r w:rsidR="0050006D">
        <w:rPr>
          <w:rFonts w:ascii="Arial Narrow" w:hAnsi="Arial Narrow"/>
        </w:rPr>
        <w:t>respective agencies</w:t>
      </w:r>
      <w:r w:rsidR="0050006D" w:rsidRPr="00D0112E">
        <w:rPr>
          <w:rFonts w:ascii="Arial Narrow" w:hAnsi="Arial Narrow"/>
        </w:rPr>
        <w:t xml:space="preserve"> </w:t>
      </w:r>
      <w:r w:rsidRPr="00D0112E">
        <w:rPr>
          <w:rFonts w:ascii="Arial Narrow" w:hAnsi="Arial Narrow"/>
        </w:rPr>
        <w:t>with the highest percentage being Case Managers/Client Services (45%)</w:t>
      </w:r>
    </w:p>
    <w:p w14:paraId="37BF35F1" w14:textId="009FA50D" w:rsidR="00E6478F" w:rsidRPr="00D0112E" w:rsidRDefault="00E6478F" w:rsidP="00D0112E">
      <w:pPr>
        <w:pStyle w:val="ListParagraph"/>
        <w:numPr>
          <w:ilvl w:val="0"/>
          <w:numId w:val="1"/>
        </w:numPr>
        <w:ind w:left="360"/>
        <w:rPr>
          <w:rFonts w:ascii="Arial Narrow" w:hAnsi="Arial Narrow"/>
        </w:rPr>
      </w:pPr>
      <w:r w:rsidRPr="00D0112E">
        <w:rPr>
          <w:rFonts w:ascii="Arial Narrow" w:hAnsi="Arial Narrow"/>
        </w:rPr>
        <w:t>Agencies provided a range of housing and services with highest being Transitional Housing (72%) and Supportive Services (60%). Respondents could select multiple types of services/housing.</w:t>
      </w:r>
    </w:p>
    <w:p w14:paraId="3B77DE80" w14:textId="3FA6D6E9" w:rsidR="00E6478F" w:rsidRPr="00D0112E" w:rsidRDefault="00E6478F" w:rsidP="00D0112E">
      <w:pPr>
        <w:pStyle w:val="ListParagraph"/>
        <w:numPr>
          <w:ilvl w:val="0"/>
          <w:numId w:val="1"/>
        </w:numPr>
        <w:ind w:left="360"/>
        <w:rPr>
          <w:rFonts w:ascii="Arial Narrow" w:hAnsi="Arial Narrow"/>
        </w:rPr>
      </w:pPr>
      <w:r w:rsidRPr="00D0112E">
        <w:rPr>
          <w:rFonts w:ascii="Arial Narrow" w:hAnsi="Arial Narrow"/>
        </w:rPr>
        <w:t>68% of the respondents said the</w:t>
      </w:r>
      <w:r w:rsidR="0050006D">
        <w:rPr>
          <w:rFonts w:ascii="Arial Narrow" w:hAnsi="Arial Narrow"/>
        </w:rPr>
        <w:t>y</w:t>
      </w:r>
      <w:r w:rsidRPr="00D0112E">
        <w:rPr>
          <w:rFonts w:ascii="Arial Narrow" w:hAnsi="Arial Narrow"/>
        </w:rPr>
        <w:t xml:space="preserve"> only entered required program data into </w:t>
      </w:r>
      <w:proofErr w:type="spellStart"/>
      <w:r w:rsidRPr="00D0112E">
        <w:rPr>
          <w:rFonts w:ascii="Arial Narrow" w:hAnsi="Arial Narrow"/>
        </w:rPr>
        <w:t>ServicePoint</w:t>
      </w:r>
      <w:proofErr w:type="spellEnd"/>
    </w:p>
    <w:p w14:paraId="078BA151" w14:textId="4C078F1E" w:rsidR="00E6478F" w:rsidRPr="00D0112E" w:rsidRDefault="00E6478F" w:rsidP="00D0112E">
      <w:pPr>
        <w:pStyle w:val="ListParagraph"/>
        <w:numPr>
          <w:ilvl w:val="0"/>
          <w:numId w:val="1"/>
        </w:numPr>
        <w:ind w:left="360"/>
        <w:rPr>
          <w:rFonts w:ascii="Arial Narrow" w:hAnsi="Arial Narrow"/>
        </w:rPr>
      </w:pPr>
      <w:r w:rsidRPr="00D0112E">
        <w:rPr>
          <w:rFonts w:ascii="Arial Narrow" w:hAnsi="Arial Narrow"/>
        </w:rPr>
        <w:t xml:space="preserve">There was a wide range of length of time that respondents had used </w:t>
      </w:r>
      <w:proofErr w:type="spellStart"/>
      <w:r w:rsidRPr="00D0112E">
        <w:rPr>
          <w:rFonts w:ascii="Arial Narrow" w:hAnsi="Arial Narrow"/>
        </w:rPr>
        <w:t>ServicePoint</w:t>
      </w:r>
      <w:proofErr w:type="spellEnd"/>
    </w:p>
    <w:p w14:paraId="67F8CBEC" w14:textId="77777777" w:rsidR="00D0112E" w:rsidRPr="00D0112E" w:rsidRDefault="00E6478F" w:rsidP="00D0112E">
      <w:pPr>
        <w:pStyle w:val="ListParagraph"/>
        <w:numPr>
          <w:ilvl w:val="0"/>
          <w:numId w:val="1"/>
        </w:numPr>
        <w:ind w:left="360"/>
        <w:rPr>
          <w:rFonts w:ascii="Arial Narrow" w:hAnsi="Arial Narrow"/>
        </w:rPr>
      </w:pPr>
      <w:r w:rsidRPr="00D0112E">
        <w:rPr>
          <w:rFonts w:ascii="Arial Narrow" w:hAnsi="Arial Narrow"/>
        </w:rPr>
        <w:t xml:space="preserve">61% of the respondents reported that their agency used multiple client management systems. 47% of the respondents reported that they used </w:t>
      </w:r>
      <w:proofErr w:type="spellStart"/>
      <w:r w:rsidRPr="00D0112E">
        <w:rPr>
          <w:rFonts w:ascii="Arial Narrow" w:hAnsi="Arial Narrow"/>
        </w:rPr>
        <w:t>ServicePoint</w:t>
      </w:r>
      <w:proofErr w:type="spellEnd"/>
      <w:r w:rsidRPr="00D0112E">
        <w:rPr>
          <w:rFonts w:ascii="Arial Narrow" w:hAnsi="Arial Narrow"/>
        </w:rPr>
        <w:t xml:space="preserve"> as their primary data collection system.</w:t>
      </w:r>
    </w:p>
    <w:p w14:paraId="463DCDA8" w14:textId="4EB4161E" w:rsidR="00E6478F" w:rsidRPr="00D0112E" w:rsidRDefault="00E6478F" w:rsidP="00D0112E">
      <w:pPr>
        <w:pStyle w:val="ListParagraph"/>
        <w:numPr>
          <w:ilvl w:val="1"/>
          <w:numId w:val="1"/>
        </w:numPr>
        <w:rPr>
          <w:rFonts w:ascii="Arial Narrow" w:hAnsi="Arial Narrow"/>
        </w:rPr>
      </w:pPr>
      <w:r w:rsidRPr="00D0112E">
        <w:rPr>
          <w:rFonts w:ascii="Arial Narrow" w:hAnsi="Arial Narrow"/>
        </w:rPr>
        <w:t xml:space="preserve">The most common reasons listed for using multiple systems was the need for specific reports (57%) and the need to capture more data than available in </w:t>
      </w:r>
      <w:proofErr w:type="spellStart"/>
      <w:r w:rsidRPr="00D0112E">
        <w:rPr>
          <w:rFonts w:ascii="Arial Narrow" w:hAnsi="Arial Narrow"/>
        </w:rPr>
        <w:t>ServicePoint</w:t>
      </w:r>
      <w:proofErr w:type="spellEnd"/>
      <w:r w:rsidRPr="00D0112E">
        <w:rPr>
          <w:rFonts w:ascii="Arial Narrow" w:hAnsi="Arial Narrow"/>
        </w:rPr>
        <w:t xml:space="preserve"> (55%)</w:t>
      </w:r>
    </w:p>
    <w:p w14:paraId="590A5567" w14:textId="4F6178E1" w:rsidR="00E6478F" w:rsidRPr="00D0112E" w:rsidRDefault="00E6478F" w:rsidP="00D0112E">
      <w:pPr>
        <w:pStyle w:val="ListParagraph"/>
        <w:numPr>
          <w:ilvl w:val="0"/>
          <w:numId w:val="1"/>
        </w:numPr>
        <w:ind w:left="360"/>
        <w:rPr>
          <w:rFonts w:ascii="Arial Narrow" w:hAnsi="Arial Narrow"/>
        </w:rPr>
      </w:pPr>
      <w:r w:rsidRPr="00D0112E">
        <w:rPr>
          <w:rFonts w:ascii="Arial Narrow" w:hAnsi="Arial Narrow"/>
        </w:rPr>
        <w:t xml:space="preserve">Respondents were moderately confident in the ability of their staff to meet HMIS requirements in </w:t>
      </w:r>
      <w:proofErr w:type="spellStart"/>
      <w:r w:rsidRPr="00D0112E">
        <w:rPr>
          <w:rFonts w:ascii="Arial Narrow" w:hAnsi="Arial Narrow"/>
        </w:rPr>
        <w:t>ServicePoint</w:t>
      </w:r>
      <w:proofErr w:type="spellEnd"/>
      <w:r w:rsidRPr="00D0112E">
        <w:rPr>
          <w:rFonts w:ascii="Arial Narrow" w:hAnsi="Arial Narrow"/>
        </w:rPr>
        <w:t xml:space="preserve"> (average 2.84 out of 5) and the quality and accuracy of data entered by staff at their agency (average 2.92 out of 5). However, the confidence in the quality and accuracy of data entered by other agencies and in the quality and accuracy of data reported out of </w:t>
      </w:r>
      <w:proofErr w:type="spellStart"/>
      <w:r w:rsidRPr="00D0112E">
        <w:rPr>
          <w:rFonts w:ascii="Arial Narrow" w:hAnsi="Arial Narrow"/>
        </w:rPr>
        <w:t>ServicePoint</w:t>
      </w:r>
      <w:proofErr w:type="spellEnd"/>
      <w:r w:rsidRPr="00D0112E">
        <w:rPr>
          <w:rFonts w:ascii="Arial Narrow" w:hAnsi="Arial Narrow"/>
        </w:rPr>
        <w:t xml:space="preserve"> were slightly lower (2.56 out of 5 and 2.65 out of 5 respectively).</w:t>
      </w:r>
    </w:p>
    <w:p w14:paraId="69673AA9" w14:textId="7141FFF4" w:rsidR="00E6478F" w:rsidRPr="00D0112E" w:rsidRDefault="00D0112E" w:rsidP="00D0112E">
      <w:pPr>
        <w:pStyle w:val="ListParagraph"/>
        <w:numPr>
          <w:ilvl w:val="0"/>
          <w:numId w:val="1"/>
        </w:numPr>
        <w:ind w:left="360"/>
        <w:rPr>
          <w:rFonts w:ascii="Arial Narrow" w:hAnsi="Arial Narrow"/>
        </w:rPr>
      </w:pPr>
      <w:r w:rsidRPr="00D0112E">
        <w:rPr>
          <w:rFonts w:ascii="Arial Narrow" w:hAnsi="Arial Narrow"/>
        </w:rPr>
        <w:t xml:space="preserve">The types of reporting or analysis </w:t>
      </w:r>
      <w:r w:rsidR="0050006D">
        <w:rPr>
          <w:rFonts w:ascii="Arial Narrow" w:hAnsi="Arial Narrow"/>
        </w:rPr>
        <w:t>for which</w:t>
      </w:r>
      <w:r w:rsidR="0050006D" w:rsidRPr="00D0112E">
        <w:rPr>
          <w:rFonts w:ascii="Arial Narrow" w:hAnsi="Arial Narrow"/>
        </w:rPr>
        <w:t xml:space="preserve"> </w:t>
      </w:r>
      <w:r w:rsidRPr="00D0112E">
        <w:rPr>
          <w:rFonts w:ascii="Arial Narrow" w:hAnsi="Arial Narrow"/>
        </w:rPr>
        <w:t xml:space="preserve">respondents </w:t>
      </w:r>
      <w:r w:rsidR="0050006D">
        <w:rPr>
          <w:rFonts w:ascii="Arial Narrow" w:hAnsi="Arial Narrow"/>
        </w:rPr>
        <w:t xml:space="preserve">most frequently </w:t>
      </w:r>
      <w:r w:rsidRPr="00D0112E">
        <w:rPr>
          <w:rFonts w:ascii="Arial Narrow" w:hAnsi="Arial Narrow"/>
        </w:rPr>
        <w:t xml:space="preserve">used </w:t>
      </w:r>
      <w:proofErr w:type="spellStart"/>
      <w:r w:rsidRPr="00D0112E">
        <w:rPr>
          <w:rFonts w:ascii="Arial Narrow" w:hAnsi="Arial Narrow"/>
        </w:rPr>
        <w:t>ServicePoint</w:t>
      </w:r>
      <w:proofErr w:type="spellEnd"/>
      <w:r w:rsidRPr="00D0112E">
        <w:rPr>
          <w:rFonts w:ascii="Arial Narrow" w:hAnsi="Arial Narrow"/>
        </w:rPr>
        <w:t xml:space="preserve"> were </w:t>
      </w:r>
      <w:r w:rsidR="0050006D">
        <w:rPr>
          <w:rFonts w:ascii="Arial Narrow" w:hAnsi="Arial Narrow"/>
        </w:rPr>
        <w:t>generation</w:t>
      </w:r>
      <w:r w:rsidR="0050006D" w:rsidRPr="00D0112E">
        <w:rPr>
          <w:rFonts w:ascii="Arial Narrow" w:hAnsi="Arial Narrow"/>
        </w:rPr>
        <w:t xml:space="preserve"> </w:t>
      </w:r>
      <w:r w:rsidRPr="00D0112E">
        <w:rPr>
          <w:rFonts w:ascii="Arial Narrow" w:hAnsi="Arial Narrow"/>
        </w:rPr>
        <w:t>of required reports for funders (2.37 out of 4), measuring outcomes of clients served by a project (2.52 out of 4)</w:t>
      </w:r>
      <w:r w:rsidR="0050006D">
        <w:rPr>
          <w:rFonts w:ascii="Arial Narrow" w:hAnsi="Arial Narrow"/>
        </w:rPr>
        <w:t>,</w:t>
      </w:r>
      <w:r w:rsidRPr="00D0112E">
        <w:rPr>
          <w:rFonts w:ascii="Arial Narrow" w:hAnsi="Arial Narrow"/>
        </w:rPr>
        <w:t xml:space="preserve"> and understanding the quality of data entered into </w:t>
      </w:r>
      <w:proofErr w:type="spellStart"/>
      <w:r w:rsidRPr="00D0112E">
        <w:rPr>
          <w:rFonts w:ascii="Arial Narrow" w:hAnsi="Arial Narrow"/>
        </w:rPr>
        <w:t>ServicePoint</w:t>
      </w:r>
      <w:proofErr w:type="spellEnd"/>
      <w:r w:rsidRPr="00D0112E">
        <w:rPr>
          <w:rFonts w:ascii="Arial Narrow" w:hAnsi="Arial Narrow"/>
        </w:rPr>
        <w:t xml:space="preserve"> (2.60 out of 4).  </w:t>
      </w:r>
    </w:p>
    <w:p w14:paraId="3F83C69F" w14:textId="0C052636" w:rsidR="00D0112E" w:rsidRPr="00D0112E" w:rsidRDefault="00D0112E" w:rsidP="00D0112E">
      <w:pPr>
        <w:pStyle w:val="ListParagraph"/>
        <w:numPr>
          <w:ilvl w:val="0"/>
          <w:numId w:val="1"/>
        </w:numPr>
        <w:ind w:left="360"/>
        <w:rPr>
          <w:rFonts w:ascii="Arial Narrow" w:hAnsi="Arial Narrow"/>
        </w:rPr>
      </w:pPr>
      <w:r w:rsidRPr="00D0112E">
        <w:rPr>
          <w:rFonts w:ascii="Arial Narrow" w:hAnsi="Arial Narrow"/>
        </w:rPr>
        <w:t>In general, respondents were fairly satisfied with the HMIS support provided. They were most satisfied with the Help Desk’s response to questions (3.71 out of 5) and least satisfied with Training on how to run required reports  (2.86 out of 5)</w:t>
      </w:r>
    </w:p>
    <w:p w14:paraId="56ED84FD" w14:textId="79386A08" w:rsidR="00D0112E" w:rsidRPr="00D0112E" w:rsidRDefault="00D0112E" w:rsidP="00D0112E">
      <w:pPr>
        <w:pStyle w:val="ListParagraph"/>
        <w:numPr>
          <w:ilvl w:val="0"/>
          <w:numId w:val="1"/>
        </w:numPr>
        <w:ind w:left="360"/>
        <w:rPr>
          <w:rFonts w:ascii="Arial Narrow" w:hAnsi="Arial Narrow"/>
        </w:rPr>
      </w:pPr>
      <w:r w:rsidRPr="00D0112E">
        <w:rPr>
          <w:rFonts w:ascii="Arial Narrow" w:hAnsi="Arial Narrow"/>
        </w:rPr>
        <w:t>Respondents generally felt that the staff at Data Remedies was accessible and responsive (3.53 out of 5) and knowledgeable (3.98 out of 5). In addition, they felt that concerns or issues were addressed relatively quickly and thoroughly (3.49 and 3.57 out of 5 respectively)</w:t>
      </w:r>
    </w:p>
    <w:p w14:paraId="7E9019BD" w14:textId="74A9414B" w:rsidR="00D0112E" w:rsidRPr="00D0112E" w:rsidRDefault="00D0112E" w:rsidP="00D0112E">
      <w:pPr>
        <w:pStyle w:val="ListParagraph"/>
        <w:numPr>
          <w:ilvl w:val="0"/>
          <w:numId w:val="1"/>
        </w:numPr>
        <w:ind w:left="360"/>
        <w:rPr>
          <w:rFonts w:ascii="Arial Narrow" w:hAnsi="Arial Narrow"/>
        </w:rPr>
      </w:pPr>
      <w:r w:rsidRPr="00D0112E">
        <w:rPr>
          <w:rFonts w:ascii="Arial Narrow" w:hAnsi="Arial Narrow"/>
        </w:rPr>
        <w:t>Respondents felt that HMIS requirements or policies were explained moderately well (2.96 out of 5) and that the HMIS support documents explained how to use the system moderately well (2.85 out of 5)</w:t>
      </w:r>
    </w:p>
    <w:p w14:paraId="1C3AE0AC" w14:textId="42A8AFC3" w:rsidR="00D0112E" w:rsidRPr="00D0112E" w:rsidRDefault="00D0112E" w:rsidP="00D0112E">
      <w:pPr>
        <w:pStyle w:val="ListParagraph"/>
        <w:numPr>
          <w:ilvl w:val="0"/>
          <w:numId w:val="1"/>
        </w:numPr>
        <w:ind w:left="360"/>
        <w:rPr>
          <w:rFonts w:ascii="Arial Narrow" w:hAnsi="Arial Narrow"/>
        </w:rPr>
      </w:pPr>
      <w:r w:rsidRPr="00D0112E">
        <w:rPr>
          <w:rFonts w:ascii="Arial Narrow" w:hAnsi="Arial Narrow"/>
        </w:rPr>
        <w:t xml:space="preserve">23% of respondents felt that more people at their agency needed access to </w:t>
      </w:r>
      <w:proofErr w:type="spellStart"/>
      <w:r w:rsidRPr="00D0112E">
        <w:rPr>
          <w:rFonts w:ascii="Arial Narrow" w:hAnsi="Arial Narrow"/>
        </w:rPr>
        <w:t>ServicePoint</w:t>
      </w:r>
      <w:proofErr w:type="spellEnd"/>
      <w:r w:rsidRPr="00D0112E">
        <w:rPr>
          <w:rFonts w:ascii="Arial Narrow" w:hAnsi="Arial Narrow"/>
        </w:rPr>
        <w:t>. Respondents generally felt that the software itself was accessible when necessary (4.06 out of 5) and that they had the technology needed to use the system (4.10 out of 5)</w:t>
      </w:r>
    </w:p>
    <w:p w14:paraId="2731F5A0" w14:textId="5AF596AC" w:rsidR="00D0112E" w:rsidRPr="00D0112E" w:rsidRDefault="00D0112E" w:rsidP="00D0112E">
      <w:pPr>
        <w:pStyle w:val="ListParagraph"/>
        <w:numPr>
          <w:ilvl w:val="0"/>
          <w:numId w:val="1"/>
        </w:numPr>
        <w:ind w:left="360"/>
        <w:rPr>
          <w:rFonts w:ascii="Arial Narrow" w:hAnsi="Arial Narrow"/>
        </w:rPr>
      </w:pPr>
      <w:r w:rsidRPr="00D0112E">
        <w:rPr>
          <w:rFonts w:ascii="Arial Narrow" w:hAnsi="Arial Narrow"/>
        </w:rPr>
        <w:t>85% of respondents said that they did not know how decisions were made about the HMIS System and 61% said that they were not familiar with the Continuum of Care’s HMIS Policies and Procedures</w:t>
      </w:r>
    </w:p>
    <w:p w14:paraId="2A24A5B3" w14:textId="5EC90128" w:rsidR="00D0112E" w:rsidRPr="00D0112E" w:rsidRDefault="00D0112E" w:rsidP="00D0112E">
      <w:pPr>
        <w:pStyle w:val="ListParagraph"/>
        <w:numPr>
          <w:ilvl w:val="0"/>
          <w:numId w:val="1"/>
        </w:numPr>
        <w:ind w:left="360"/>
        <w:rPr>
          <w:rFonts w:ascii="Arial Narrow" w:hAnsi="Arial Narrow"/>
        </w:rPr>
      </w:pPr>
      <w:r w:rsidRPr="00D0112E">
        <w:rPr>
          <w:rFonts w:ascii="Arial Narrow" w:hAnsi="Arial Narrow"/>
        </w:rPr>
        <w:t>The three features that the most respondents reported they would most like to see made to the system were data sharing between agencies (73%), enhanced reporting (59%) and increased training (41%).</w:t>
      </w:r>
      <w:r w:rsidR="00A57544">
        <w:rPr>
          <w:rFonts w:ascii="Arial Narrow" w:hAnsi="Arial Narrow"/>
        </w:rPr>
        <w:t xml:space="preserve"> </w:t>
      </w:r>
      <w:r w:rsidR="00A57544">
        <w:rPr>
          <w:rFonts w:ascii="Arial Narrow" w:hAnsi="Arial Narrow"/>
        </w:rPr>
        <w:t>Import/Export of data and ability to add custom fields were selected by a high number of respondents (</w:t>
      </w:r>
      <w:r w:rsidR="00A57544">
        <w:rPr>
          <w:rFonts w:ascii="Arial Narrow" w:hAnsi="Arial Narrow"/>
        </w:rPr>
        <w:t>39</w:t>
      </w:r>
      <w:r w:rsidR="00A57544">
        <w:rPr>
          <w:rFonts w:ascii="Arial Narrow" w:hAnsi="Arial Narrow"/>
        </w:rPr>
        <w:t>%</w:t>
      </w:r>
      <w:r w:rsidR="00A57544">
        <w:rPr>
          <w:rFonts w:ascii="Arial Narrow" w:hAnsi="Arial Narrow"/>
        </w:rPr>
        <w:t xml:space="preserve"> and 36% respectively</w:t>
      </w:r>
      <w:r w:rsidR="00A57544">
        <w:rPr>
          <w:rFonts w:ascii="Arial Narrow" w:hAnsi="Arial Narrow"/>
        </w:rPr>
        <w:t>).</w:t>
      </w:r>
      <w:bookmarkStart w:id="0" w:name="_GoBack"/>
      <w:bookmarkEnd w:id="0"/>
    </w:p>
    <w:p w14:paraId="144868E4" w14:textId="77777777" w:rsidR="00306D53" w:rsidRDefault="00306D53" w:rsidP="00D0112E"/>
    <w:tbl>
      <w:tblPr>
        <w:tblStyle w:val="TableGrid"/>
        <w:tblW w:w="0" w:type="auto"/>
        <w:tblLook w:val="04A0" w:firstRow="1" w:lastRow="0" w:firstColumn="1" w:lastColumn="0" w:noHBand="0" w:noVBand="1"/>
      </w:tblPr>
      <w:tblGrid>
        <w:gridCol w:w="5688"/>
        <w:gridCol w:w="720"/>
      </w:tblGrid>
      <w:tr w:rsidR="00306D53" w14:paraId="6179E9EA" w14:textId="77777777" w:rsidTr="0050006D">
        <w:tc>
          <w:tcPr>
            <w:tcW w:w="6408" w:type="dxa"/>
            <w:gridSpan w:val="2"/>
          </w:tcPr>
          <w:p w14:paraId="7F557298" w14:textId="7A0178A8" w:rsidR="00306D53" w:rsidRDefault="00306D53" w:rsidP="0050006D">
            <w:pPr>
              <w:jc w:val="center"/>
              <w:rPr>
                <w:rFonts w:ascii="Calibri" w:eastAsia="Times New Roman" w:hAnsi="Calibri" w:cs="Times New Roman"/>
                <w:b/>
                <w:color w:val="000000"/>
              </w:rPr>
            </w:pPr>
            <w:r>
              <w:rPr>
                <w:rFonts w:ascii="Calibri" w:eastAsia="Times New Roman" w:hAnsi="Calibri" w:cs="Times New Roman"/>
                <w:b/>
                <w:color w:val="000000"/>
              </w:rPr>
              <w:t>Average Rating</w:t>
            </w:r>
            <w:r w:rsidR="00D0112E">
              <w:rPr>
                <w:rFonts w:ascii="Calibri" w:eastAsia="Times New Roman" w:hAnsi="Calibri" w:cs="Times New Roman"/>
                <w:b/>
                <w:color w:val="000000"/>
              </w:rPr>
              <w:t>s</w:t>
            </w:r>
            <w:r>
              <w:rPr>
                <w:rFonts w:ascii="Calibri" w:eastAsia="Times New Roman" w:hAnsi="Calibri" w:cs="Times New Roman"/>
                <w:b/>
                <w:color w:val="000000"/>
              </w:rPr>
              <w:t xml:space="preserve"> of </w:t>
            </w:r>
            <w:r w:rsidRPr="00673B68">
              <w:rPr>
                <w:rFonts w:ascii="Calibri" w:eastAsia="Times New Roman" w:hAnsi="Calibri" w:cs="Times New Roman"/>
                <w:b/>
                <w:color w:val="000000"/>
              </w:rPr>
              <w:t>Importance</w:t>
            </w:r>
          </w:p>
          <w:p w14:paraId="0C1A213D" w14:textId="77777777" w:rsidR="00306D53" w:rsidRDefault="00306D53" w:rsidP="0050006D">
            <w:pPr>
              <w:jc w:val="center"/>
            </w:pPr>
            <w:r>
              <w:rPr>
                <w:rFonts w:ascii="Calibri" w:eastAsia="Times New Roman" w:hAnsi="Calibri" w:cs="Times New Roman"/>
                <w:color w:val="000000"/>
              </w:rPr>
              <w:t>1 (</w:t>
            </w:r>
            <w:r w:rsidRPr="00D963F2">
              <w:rPr>
                <w:rFonts w:ascii="Calibri" w:eastAsia="Times New Roman" w:hAnsi="Calibri" w:cs="Times New Roman"/>
                <w:color w:val="000000"/>
              </w:rPr>
              <w:t xml:space="preserve">Not </w:t>
            </w:r>
            <w:r>
              <w:rPr>
                <w:rFonts w:ascii="Calibri" w:eastAsia="Times New Roman" w:hAnsi="Calibri" w:cs="Times New Roman"/>
                <w:color w:val="000000"/>
              </w:rPr>
              <w:t xml:space="preserve">at all) </w:t>
            </w:r>
            <w:r w:rsidRPr="00D963F2">
              <w:rPr>
                <w:rFonts w:ascii="Calibri" w:eastAsia="Times New Roman" w:hAnsi="Calibri" w:cs="Times New Roman"/>
                <w:color w:val="000000"/>
              </w:rPr>
              <w:t xml:space="preserve">– 5 </w:t>
            </w:r>
            <w:r>
              <w:rPr>
                <w:rFonts w:ascii="Calibri" w:eastAsia="Times New Roman" w:hAnsi="Calibri" w:cs="Times New Roman"/>
                <w:color w:val="000000"/>
              </w:rPr>
              <w:t>(</w:t>
            </w:r>
            <w:r w:rsidRPr="00D963F2">
              <w:rPr>
                <w:rFonts w:ascii="Calibri" w:eastAsia="Times New Roman" w:hAnsi="Calibri" w:cs="Times New Roman"/>
                <w:color w:val="000000"/>
              </w:rPr>
              <w:t>Very)</w:t>
            </w:r>
          </w:p>
        </w:tc>
      </w:tr>
      <w:tr w:rsidR="00306D53" w14:paraId="7AAFB45E" w14:textId="77777777" w:rsidTr="0050006D">
        <w:tc>
          <w:tcPr>
            <w:tcW w:w="5688" w:type="dxa"/>
            <w:vAlign w:val="bottom"/>
          </w:tcPr>
          <w:p w14:paraId="1D0F9E29" w14:textId="77777777" w:rsidR="00306D53" w:rsidRDefault="00306D53" w:rsidP="0050006D">
            <w:r>
              <w:rPr>
                <w:rFonts w:ascii="Calibri" w:eastAsia="Times New Roman" w:hAnsi="Calibri" w:cs="Times New Roman"/>
                <w:color w:val="000000"/>
              </w:rPr>
              <w:t>Easy Data Entry</w:t>
            </w:r>
          </w:p>
        </w:tc>
        <w:tc>
          <w:tcPr>
            <w:tcW w:w="720" w:type="dxa"/>
            <w:vAlign w:val="bottom"/>
          </w:tcPr>
          <w:p w14:paraId="7B3350CD" w14:textId="77777777" w:rsidR="00306D53" w:rsidRDefault="00306D53" w:rsidP="0050006D">
            <w:r>
              <w:rPr>
                <w:rFonts w:ascii="Calibri" w:eastAsia="Times New Roman" w:hAnsi="Calibri" w:cs="Times New Roman"/>
                <w:color w:val="000000"/>
              </w:rPr>
              <w:t>4.81</w:t>
            </w:r>
          </w:p>
        </w:tc>
      </w:tr>
      <w:tr w:rsidR="00306D53" w14:paraId="153447E7" w14:textId="77777777" w:rsidTr="0050006D">
        <w:tc>
          <w:tcPr>
            <w:tcW w:w="5688" w:type="dxa"/>
            <w:vAlign w:val="bottom"/>
          </w:tcPr>
          <w:p w14:paraId="41A76991" w14:textId="77777777" w:rsidR="00306D53" w:rsidRDefault="00306D53" w:rsidP="0050006D">
            <w:r>
              <w:rPr>
                <w:rFonts w:ascii="Calibri" w:eastAsia="Times New Roman" w:hAnsi="Calibri" w:cs="Times New Roman"/>
                <w:color w:val="000000"/>
              </w:rPr>
              <w:t>One on One TA</w:t>
            </w:r>
          </w:p>
        </w:tc>
        <w:tc>
          <w:tcPr>
            <w:tcW w:w="720" w:type="dxa"/>
            <w:vAlign w:val="bottom"/>
          </w:tcPr>
          <w:p w14:paraId="4E89BD69" w14:textId="77777777" w:rsidR="00306D53" w:rsidRDefault="00306D53" w:rsidP="0050006D">
            <w:r>
              <w:rPr>
                <w:rFonts w:ascii="Calibri" w:eastAsia="Times New Roman" w:hAnsi="Calibri" w:cs="Times New Roman"/>
                <w:color w:val="000000"/>
              </w:rPr>
              <w:t>4.38</w:t>
            </w:r>
          </w:p>
        </w:tc>
      </w:tr>
      <w:tr w:rsidR="00306D53" w14:paraId="53949EA6" w14:textId="77777777" w:rsidTr="0050006D">
        <w:tc>
          <w:tcPr>
            <w:tcW w:w="5688" w:type="dxa"/>
            <w:vAlign w:val="bottom"/>
          </w:tcPr>
          <w:p w14:paraId="11B72BD5" w14:textId="77777777" w:rsidR="00306D53" w:rsidRDefault="00306D53" w:rsidP="0050006D">
            <w:r>
              <w:rPr>
                <w:rFonts w:ascii="Calibri" w:eastAsia="Times New Roman" w:hAnsi="Calibri" w:cs="Times New Roman"/>
                <w:color w:val="000000"/>
              </w:rPr>
              <w:t>Identify Data Quality Issues</w:t>
            </w:r>
          </w:p>
        </w:tc>
        <w:tc>
          <w:tcPr>
            <w:tcW w:w="720" w:type="dxa"/>
            <w:vAlign w:val="bottom"/>
          </w:tcPr>
          <w:p w14:paraId="3B1945B9" w14:textId="77777777" w:rsidR="00306D53" w:rsidRDefault="00306D53" w:rsidP="0050006D">
            <w:r>
              <w:rPr>
                <w:rFonts w:ascii="Calibri" w:eastAsia="Times New Roman" w:hAnsi="Calibri" w:cs="Times New Roman"/>
                <w:color w:val="000000"/>
              </w:rPr>
              <w:t>4.31</w:t>
            </w:r>
          </w:p>
        </w:tc>
      </w:tr>
      <w:tr w:rsidR="00306D53" w14:paraId="70AB413C" w14:textId="77777777" w:rsidTr="0050006D">
        <w:tc>
          <w:tcPr>
            <w:tcW w:w="5688" w:type="dxa"/>
            <w:vAlign w:val="bottom"/>
          </w:tcPr>
          <w:p w14:paraId="07973B59" w14:textId="77777777" w:rsidR="00306D53" w:rsidRDefault="00306D53" w:rsidP="0050006D">
            <w:r>
              <w:rPr>
                <w:rFonts w:ascii="Calibri" w:eastAsia="Times New Roman" w:hAnsi="Calibri" w:cs="Times New Roman"/>
                <w:color w:val="000000"/>
              </w:rPr>
              <w:t>Submit Reports Electronically</w:t>
            </w:r>
          </w:p>
        </w:tc>
        <w:tc>
          <w:tcPr>
            <w:tcW w:w="720" w:type="dxa"/>
            <w:vAlign w:val="bottom"/>
          </w:tcPr>
          <w:p w14:paraId="4FCC6E2B" w14:textId="77777777" w:rsidR="00306D53" w:rsidRDefault="00306D53" w:rsidP="0050006D">
            <w:r>
              <w:rPr>
                <w:rFonts w:ascii="Calibri" w:eastAsia="Times New Roman" w:hAnsi="Calibri" w:cs="Times New Roman"/>
                <w:color w:val="000000"/>
              </w:rPr>
              <w:t>4.06</w:t>
            </w:r>
          </w:p>
        </w:tc>
      </w:tr>
      <w:tr w:rsidR="00306D53" w14:paraId="4709A23E" w14:textId="77777777" w:rsidTr="0050006D">
        <w:tc>
          <w:tcPr>
            <w:tcW w:w="5688" w:type="dxa"/>
            <w:vAlign w:val="bottom"/>
          </w:tcPr>
          <w:p w14:paraId="74F27DED" w14:textId="77777777" w:rsidR="00306D53" w:rsidRDefault="00306D53" w:rsidP="0050006D">
            <w:r>
              <w:rPr>
                <w:rFonts w:ascii="Calibri" w:eastAsia="Times New Roman" w:hAnsi="Calibri" w:cs="Times New Roman"/>
                <w:color w:val="000000"/>
              </w:rPr>
              <w:t>Agency Level Reporting</w:t>
            </w:r>
          </w:p>
        </w:tc>
        <w:tc>
          <w:tcPr>
            <w:tcW w:w="720" w:type="dxa"/>
            <w:vAlign w:val="bottom"/>
          </w:tcPr>
          <w:p w14:paraId="15D5D2EE" w14:textId="77777777" w:rsidR="00306D53" w:rsidRDefault="00306D53" w:rsidP="0050006D">
            <w:r>
              <w:rPr>
                <w:rFonts w:ascii="Calibri" w:eastAsia="Times New Roman" w:hAnsi="Calibri" w:cs="Times New Roman"/>
                <w:color w:val="000000"/>
              </w:rPr>
              <w:t>3.65</w:t>
            </w:r>
          </w:p>
        </w:tc>
      </w:tr>
      <w:tr w:rsidR="00306D53" w14:paraId="74B933E0" w14:textId="77777777" w:rsidTr="0050006D">
        <w:tc>
          <w:tcPr>
            <w:tcW w:w="5688" w:type="dxa"/>
            <w:vAlign w:val="bottom"/>
          </w:tcPr>
          <w:p w14:paraId="57A1FDB0" w14:textId="77777777" w:rsidR="00306D53" w:rsidRDefault="00306D53" w:rsidP="0050006D">
            <w:r>
              <w:rPr>
                <w:rFonts w:ascii="Calibri" w:eastAsia="Times New Roman" w:hAnsi="Calibri" w:cs="Times New Roman"/>
                <w:color w:val="000000"/>
              </w:rPr>
              <w:t>View Real-Time Data</w:t>
            </w:r>
          </w:p>
        </w:tc>
        <w:tc>
          <w:tcPr>
            <w:tcW w:w="720" w:type="dxa"/>
            <w:vAlign w:val="bottom"/>
          </w:tcPr>
          <w:p w14:paraId="7C8E289E" w14:textId="77777777" w:rsidR="00306D53" w:rsidRDefault="00306D53" w:rsidP="0050006D">
            <w:r>
              <w:rPr>
                <w:rFonts w:ascii="Calibri" w:eastAsia="Times New Roman" w:hAnsi="Calibri" w:cs="Times New Roman"/>
                <w:color w:val="000000"/>
              </w:rPr>
              <w:t>3.6</w:t>
            </w:r>
          </w:p>
        </w:tc>
      </w:tr>
      <w:tr w:rsidR="00306D53" w14:paraId="69C142D0" w14:textId="77777777" w:rsidTr="0050006D">
        <w:tc>
          <w:tcPr>
            <w:tcW w:w="5688" w:type="dxa"/>
            <w:vAlign w:val="bottom"/>
          </w:tcPr>
          <w:p w14:paraId="00080999" w14:textId="77777777" w:rsidR="00306D53" w:rsidRDefault="00306D53" w:rsidP="0050006D">
            <w:r>
              <w:rPr>
                <w:rFonts w:ascii="Calibri" w:eastAsia="Times New Roman" w:hAnsi="Calibri" w:cs="Times New Roman"/>
                <w:color w:val="000000"/>
              </w:rPr>
              <w:t>Program Level Reporting</w:t>
            </w:r>
          </w:p>
        </w:tc>
        <w:tc>
          <w:tcPr>
            <w:tcW w:w="720" w:type="dxa"/>
            <w:vAlign w:val="bottom"/>
          </w:tcPr>
          <w:p w14:paraId="4F64D160" w14:textId="77777777" w:rsidR="00306D53" w:rsidRDefault="00306D53" w:rsidP="0050006D">
            <w:r>
              <w:rPr>
                <w:rFonts w:ascii="Calibri" w:eastAsia="Times New Roman" w:hAnsi="Calibri" w:cs="Times New Roman"/>
                <w:color w:val="000000"/>
              </w:rPr>
              <w:t>3.6</w:t>
            </w:r>
          </w:p>
        </w:tc>
      </w:tr>
      <w:tr w:rsidR="00306D53" w14:paraId="7C4B4033" w14:textId="77777777" w:rsidTr="0050006D">
        <w:trPr>
          <w:trHeight w:val="350"/>
        </w:trPr>
        <w:tc>
          <w:tcPr>
            <w:tcW w:w="5688" w:type="dxa"/>
            <w:vAlign w:val="bottom"/>
          </w:tcPr>
          <w:p w14:paraId="362D2577" w14:textId="77777777" w:rsidR="00306D53" w:rsidRDefault="00306D53" w:rsidP="0050006D">
            <w:r>
              <w:rPr>
                <w:rFonts w:ascii="Calibri" w:eastAsia="Times New Roman" w:hAnsi="Calibri" w:cs="Times New Roman"/>
                <w:color w:val="000000"/>
              </w:rPr>
              <w:t>Custom Reporting</w:t>
            </w:r>
          </w:p>
        </w:tc>
        <w:tc>
          <w:tcPr>
            <w:tcW w:w="720" w:type="dxa"/>
            <w:vAlign w:val="bottom"/>
          </w:tcPr>
          <w:p w14:paraId="7D032264" w14:textId="77777777" w:rsidR="00306D53" w:rsidRDefault="00306D53" w:rsidP="0050006D">
            <w:r>
              <w:rPr>
                <w:rFonts w:ascii="Calibri" w:eastAsia="Times New Roman" w:hAnsi="Calibri" w:cs="Times New Roman"/>
                <w:color w:val="000000"/>
              </w:rPr>
              <w:t>3.52</w:t>
            </w:r>
          </w:p>
        </w:tc>
      </w:tr>
      <w:tr w:rsidR="00306D53" w14:paraId="68CC19AB" w14:textId="77777777" w:rsidTr="0050006D">
        <w:tc>
          <w:tcPr>
            <w:tcW w:w="5688" w:type="dxa"/>
            <w:vAlign w:val="bottom"/>
          </w:tcPr>
          <w:p w14:paraId="6DEAD7B1" w14:textId="77777777" w:rsidR="00306D53" w:rsidRDefault="00306D53" w:rsidP="0050006D">
            <w:r>
              <w:rPr>
                <w:rFonts w:ascii="Calibri" w:eastAsia="Times New Roman" w:hAnsi="Calibri" w:cs="Times New Roman"/>
                <w:color w:val="000000"/>
              </w:rPr>
              <w:t>Enter Non HUD Data</w:t>
            </w:r>
          </w:p>
        </w:tc>
        <w:tc>
          <w:tcPr>
            <w:tcW w:w="720" w:type="dxa"/>
            <w:vAlign w:val="bottom"/>
          </w:tcPr>
          <w:p w14:paraId="6561822E" w14:textId="77777777" w:rsidR="00306D53" w:rsidRDefault="00306D53" w:rsidP="0050006D">
            <w:r>
              <w:rPr>
                <w:rFonts w:ascii="Calibri" w:eastAsia="Times New Roman" w:hAnsi="Calibri" w:cs="Times New Roman"/>
                <w:color w:val="000000"/>
              </w:rPr>
              <w:t>3.46</w:t>
            </w:r>
          </w:p>
        </w:tc>
      </w:tr>
      <w:tr w:rsidR="00306D53" w14:paraId="6650B80D" w14:textId="77777777" w:rsidTr="0050006D">
        <w:tc>
          <w:tcPr>
            <w:tcW w:w="5688" w:type="dxa"/>
            <w:vAlign w:val="bottom"/>
          </w:tcPr>
          <w:p w14:paraId="790191BB" w14:textId="77777777" w:rsidR="00306D53" w:rsidRDefault="00306D53" w:rsidP="0050006D">
            <w:r>
              <w:rPr>
                <w:rFonts w:ascii="Calibri" w:eastAsia="Times New Roman" w:hAnsi="Calibri" w:cs="Times New Roman"/>
                <w:color w:val="000000"/>
              </w:rPr>
              <w:t>Bed Availability</w:t>
            </w:r>
          </w:p>
        </w:tc>
        <w:tc>
          <w:tcPr>
            <w:tcW w:w="720" w:type="dxa"/>
            <w:vAlign w:val="bottom"/>
          </w:tcPr>
          <w:p w14:paraId="4C40A041" w14:textId="77777777" w:rsidR="00306D53" w:rsidRDefault="00306D53" w:rsidP="0050006D">
            <w:r>
              <w:rPr>
                <w:rFonts w:ascii="Calibri" w:eastAsia="Times New Roman" w:hAnsi="Calibri" w:cs="Times New Roman"/>
                <w:color w:val="000000"/>
              </w:rPr>
              <w:t>3.43</w:t>
            </w:r>
          </w:p>
        </w:tc>
      </w:tr>
      <w:tr w:rsidR="00306D53" w14:paraId="2411F27D" w14:textId="77777777" w:rsidTr="0050006D">
        <w:tc>
          <w:tcPr>
            <w:tcW w:w="5688" w:type="dxa"/>
            <w:vAlign w:val="bottom"/>
          </w:tcPr>
          <w:p w14:paraId="41B1ADC7" w14:textId="77777777" w:rsidR="00306D53" w:rsidRDefault="00306D53" w:rsidP="0050006D">
            <w:r>
              <w:rPr>
                <w:rFonts w:ascii="Calibri" w:eastAsia="Times New Roman" w:hAnsi="Calibri" w:cs="Times New Roman"/>
                <w:color w:val="000000"/>
              </w:rPr>
              <w:t>Share Data Across Agencies</w:t>
            </w:r>
          </w:p>
        </w:tc>
        <w:tc>
          <w:tcPr>
            <w:tcW w:w="720" w:type="dxa"/>
            <w:vAlign w:val="bottom"/>
          </w:tcPr>
          <w:p w14:paraId="58648A13" w14:textId="77777777" w:rsidR="00306D53" w:rsidRDefault="00306D53" w:rsidP="0050006D">
            <w:r>
              <w:rPr>
                <w:rFonts w:ascii="Calibri" w:eastAsia="Times New Roman" w:hAnsi="Calibri" w:cs="Times New Roman"/>
                <w:color w:val="000000"/>
              </w:rPr>
              <w:t>3.36</w:t>
            </w:r>
          </w:p>
        </w:tc>
      </w:tr>
      <w:tr w:rsidR="00306D53" w14:paraId="56AD33CF" w14:textId="77777777" w:rsidTr="0050006D">
        <w:tc>
          <w:tcPr>
            <w:tcW w:w="5688" w:type="dxa"/>
            <w:vAlign w:val="bottom"/>
          </w:tcPr>
          <w:p w14:paraId="5F907B5A" w14:textId="77777777" w:rsidR="00306D53" w:rsidRDefault="00306D53" w:rsidP="0050006D">
            <w:r>
              <w:rPr>
                <w:rFonts w:ascii="Calibri" w:eastAsia="Times New Roman" w:hAnsi="Calibri" w:cs="Times New Roman"/>
                <w:color w:val="000000"/>
              </w:rPr>
              <w:t>Case Management</w:t>
            </w:r>
          </w:p>
        </w:tc>
        <w:tc>
          <w:tcPr>
            <w:tcW w:w="720" w:type="dxa"/>
            <w:vAlign w:val="bottom"/>
          </w:tcPr>
          <w:p w14:paraId="44D912A6" w14:textId="77777777" w:rsidR="00306D53" w:rsidRDefault="00306D53" w:rsidP="0050006D">
            <w:r>
              <w:rPr>
                <w:rFonts w:ascii="Calibri" w:eastAsia="Times New Roman" w:hAnsi="Calibri" w:cs="Times New Roman"/>
                <w:color w:val="000000"/>
              </w:rPr>
              <w:t>3.3</w:t>
            </w:r>
          </w:p>
        </w:tc>
      </w:tr>
      <w:tr w:rsidR="00306D53" w14:paraId="7C4F2C1E" w14:textId="77777777" w:rsidTr="0050006D">
        <w:tc>
          <w:tcPr>
            <w:tcW w:w="5688" w:type="dxa"/>
            <w:vAlign w:val="bottom"/>
          </w:tcPr>
          <w:p w14:paraId="4DA96D4E" w14:textId="77777777" w:rsidR="00306D53" w:rsidRDefault="00306D53" w:rsidP="0050006D">
            <w:r>
              <w:rPr>
                <w:rFonts w:ascii="Calibri" w:eastAsia="Times New Roman" w:hAnsi="Calibri" w:cs="Times New Roman"/>
                <w:color w:val="000000"/>
              </w:rPr>
              <w:t>Community Level Reporting</w:t>
            </w:r>
          </w:p>
        </w:tc>
        <w:tc>
          <w:tcPr>
            <w:tcW w:w="720" w:type="dxa"/>
            <w:vAlign w:val="bottom"/>
          </w:tcPr>
          <w:p w14:paraId="77D332C2" w14:textId="77777777" w:rsidR="00306D53" w:rsidRDefault="00306D53" w:rsidP="0050006D">
            <w:r>
              <w:rPr>
                <w:rFonts w:ascii="Calibri" w:eastAsia="Times New Roman" w:hAnsi="Calibri" w:cs="Times New Roman"/>
                <w:color w:val="000000"/>
              </w:rPr>
              <w:t>3.2</w:t>
            </w:r>
          </w:p>
        </w:tc>
      </w:tr>
      <w:tr w:rsidR="00306D53" w14:paraId="5A39D1D7" w14:textId="77777777" w:rsidTr="0050006D">
        <w:tc>
          <w:tcPr>
            <w:tcW w:w="5688" w:type="dxa"/>
            <w:vAlign w:val="bottom"/>
          </w:tcPr>
          <w:p w14:paraId="045C6D9E" w14:textId="77777777" w:rsidR="00306D53" w:rsidRDefault="00306D53" w:rsidP="0050006D">
            <w:r>
              <w:rPr>
                <w:rFonts w:ascii="Calibri" w:eastAsia="Times New Roman" w:hAnsi="Calibri" w:cs="Times New Roman"/>
                <w:color w:val="000000"/>
              </w:rPr>
              <w:t>Client Assessment</w:t>
            </w:r>
          </w:p>
        </w:tc>
        <w:tc>
          <w:tcPr>
            <w:tcW w:w="720" w:type="dxa"/>
            <w:vAlign w:val="bottom"/>
          </w:tcPr>
          <w:p w14:paraId="68E5FD78" w14:textId="77777777" w:rsidR="00306D53" w:rsidRDefault="00306D53" w:rsidP="0050006D">
            <w:r>
              <w:rPr>
                <w:rFonts w:ascii="Calibri" w:eastAsia="Times New Roman" w:hAnsi="Calibri" w:cs="Times New Roman"/>
                <w:color w:val="000000"/>
              </w:rPr>
              <w:t>3.17</w:t>
            </w:r>
          </w:p>
        </w:tc>
      </w:tr>
      <w:tr w:rsidR="00306D53" w14:paraId="35C6D049" w14:textId="77777777" w:rsidTr="0050006D">
        <w:tc>
          <w:tcPr>
            <w:tcW w:w="5688" w:type="dxa"/>
            <w:vAlign w:val="bottom"/>
          </w:tcPr>
          <w:p w14:paraId="7733F87F" w14:textId="77777777" w:rsidR="00306D53" w:rsidRDefault="00306D53" w:rsidP="0050006D">
            <w:r>
              <w:rPr>
                <w:rFonts w:ascii="Calibri" w:eastAsia="Times New Roman" w:hAnsi="Calibri" w:cs="Times New Roman"/>
                <w:color w:val="000000"/>
              </w:rPr>
              <w:t>Exporting Data</w:t>
            </w:r>
          </w:p>
        </w:tc>
        <w:tc>
          <w:tcPr>
            <w:tcW w:w="720" w:type="dxa"/>
            <w:vAlign w:val="bottom"/>
          </w:tcPr>
          <w:p w14:paraId="1FD126B6" w14:textId="77777777" w:rsidR="00306D53" w:rsidRDefault="00306D53" w:rsidP="0050006D">
            <w:r>
              <w:rPr>
                <w:rFonts w:ascii="Calibri" w:eastAsia="Times New Roman" w:hAnsi="Calibri" w:cs="Times New Roman"/>
                <w:color w:val="000000"/>
              </w:rPr>
              <w:t>3.1</w:t>
            </w:r>
          </w:p>
        </w:tc>
      </w:tr>
    </w:tbl>
    <w:p w14:paraId="38ECAAE0" w14:textId="77777777" w:rsidR="00306D53" w:rsidRDefault="00306D53" w:rsidP="00D963F2">
      <w:pPr>
        <w:jc w:val="center"/>
      </w:pPr>
    </w:p>
    <w:p w14:paraId="6A64281E" w14:textId="7CB3EFA1" w:rsidR="00D0112E" w:rsidRDefault="00D0112E">
      <w:r>
        <w:br w:type="page"/>
      </w:r>
    </w:p>
    <w:p w14:paraId="1DFCF318" w14:textId="77777777" w:rsidR="00306D53" w:rsidRDefault="00306D53" w:rsidP="00D963F2">
      <w:pPr>
        <w:jc w:val="center"/>
      </w:pPr>
    </w:p>
    <w:p w14:paraId="4235BF55" w14:textId="71C6DCAC" w:rsidR="00306D53" w:rsidRDefault="00306D53" w:rsidP="00306D53">
      <w:pPr>
        <w:jc w:val="center"/>
      </w:pPr>
    </w:p>
    <w:tbl>
      <w:tblPr>
        <w:tblStyle w:val="TableGrid"/>
        <w:tblW w:w="0" w:type="auto"/>
        <w:tblLook w:val="04A0" w:firstRow="1" w:lastRow="0" w:firstColumn="1" w:lastColumn="0" w:noHBand="0" w:noVBand="1"/>
      </w:tblPr>
      <w:tblGrid>
        <w:gridCol w:w="5598"/>
        <w:gridCol w:w="810"/>
        <w:gridCol w:w="540"/>
        <w:gridCol w:w="5580"/>
        <w:gridCol w:w="648"/>
      </w:tblGrid>
      <w:tr w:rsidR="00306D53" w14:paraId="0FB9CAA2" w14:textId="77777777" w:rsidTr="0050006D">
        <w:tc>
          <w:tcPr>
            <w:tcW w:w="6408" w:type="dxa"/>
            <w:gridSpan w:val="2"/>
          </w:tcPr>
          <w:p w14:paraId="2941F6DA" w14:textId="257EC097" w:rsidR="00E6478F" w:rsidRDefault="00306D53" w:rsidP="0050006D">
            <w:pPr>
              <w:jc w:val="center"/>
              <w:rPr>
                <w:rFonts w:ascii="Calibri" w:eastAsia="Times New Roman" w:hAnsi="Calibri" w:cs="Times New Roman"/>
                <w:b/>
                <w:color w:val="000000"/>
              </w:rPr>
            </w:pPr>
            <w:r>
              <w:rPr>
                <w:rFonts w:ascii="Calibri" w:eastAsia="Times New Roman" w:hAnsi="Calibri" w:cs="Times New Roman"/>
                <w:b/>
                <w:color w:val="000000"/>
              </w:rPr>
              <w:t>Average Rating</w:t>
            </w:r>
            <w:r w:rsidR="00D0112E">
              <w:rPr>
                <w:rFonts w:ascii="Calibri" w:eastAsia="Times New Roman" w:hAnsi="Calibri" w:cs="Times New Roman"/>
                <w:b/>
                <w:color w:val="000000"/>
              </w:rPr>
              <w:t>s</w:t>
            </w:r>
            <w:r>
              <w:rPr>
                <w:rFonts w:ascii="Calibri" w:eastAsia="Times New Roman" w:hAnsi="Calibri" w:cs="Times New Roman"/>
                <w:b/>
                <w:color w:val="000000"/>
              </w:rPr>
              <w:t xml:space="preserve"> of Effectiveness </w:t>
            </w:r>
          </w:p>
          <w:p w14:paraId="22F9ECAF" w14:textId="62A7DCE3" w:rsidR="00306D53" w:rsidRDefault="00306D53" w:rsidP="0050006D">
            <w:pPr>
              <w:jc w:val="center"/>
              <w:rPr>
                <w:rFonts w:ascii="Calibri" w:eastAsia="Times New Roman" w:hAnsi="Calibri" w:cs="Times New Roman"/>
                <w:b/>
                <w:color w:val="000000"/>
              </w:rPr>
            </w:pPr>
            <w:r>
              <w:rPr>
                <w:rFonts w:ascii="Calibri" w:eastAsia="Times New Roman" w:hAnsi="Calibri" w:cs="Times New Roman"/>
                <w:b/>
                <w:color w:val="000000"/>
              </w:rPr>
              <w:t>Core Functions</w:t>
            </w:r>
          </w:p>
          <w:p w14:paraId="68F9B004" w14:textId="77777777" w:rsidR="00306D53" w:rsidRDefault="00306D53" w:rsidP="0050006D">
            <w:pPr>
              <w:jc w:val="center"/>
            </w:pPr>
            <w:r>
              <w:rPr>
                <w:rFonts w:ascii="Calibri" w:eastAsia="Times New Roman" w:hAnsi="Calibri" w:cs="Times New Roman"/>
                <w:color w:val="000000"/>
              </w:rPr>
              <w:t>1 (</w:t>
            </w:r>
            <w:r w:rsidRPr="00D963F2">
              <w:rPr>
                <w:rFonts w:ascii="Calibri" w:eastAsia="Times New Roman" w:hAnsi="Calibri" w:cs="Times New Roman"/>
                <w:color w:val="000000"/>
              </w:rPr>
              <w:t xml:space="preserve">Not </w:t>
            </w:r>
            <w:r>
              <w:rPr>
                <w:rFonts w:ascii="Calibri" w:eastAsia="Times New Roman" w:hAnsi="Calibri" w:cs="Times New Roman"/>
                <w:color w:val="000000"/>
              </w:rPr>
              <w:t xml:space="preserve">at all) </w:t>
            </w:r>
            <w:r w:rsidRPr="00D963F2">
              <w:rPr>
                <w:rFonts w:ascii="Calibri" w:eastAsia="Times New Roman" w:hAnsi="Calibri" w:cs="Times New Roman"/>
                <w:color w:val="000000"/>
              </w:rPr>
              <w:t xml:space="preserve">– 5 </w:t>
            </w:r>
            <w:r>
              <w:rPr>
                <w:rFonts w:ascii="Calibri" w:eastAsia="Times New Roman" w:hAnsi="Calibri" w:cs="Times New Roman"/>
                <w:color w:val="000000"/>
              </w:rPr>
              <w:t>(</w:t>
            </w:r>
            <w:r w:rsidRPr="00D963F2">
              <w:rPr>
                <w:rFonts w:ascii="Calibri" w:eastAsia="Times New Roman" w:hAnsi="Calibri" w:cs="Times New Roman"/>
                <w:color w:val="000000"/>
              </w:rPr>
              <w:t>Very)</w:t>
            </w:r>
          </w:p>
        </w:tc>
        <w:tc>
          <w:tcPr>
            <w:tcW w:w="540" w:type="dxa"/>
          </w:tcPr>
          <w:p w14:paraId="4DE27D5E" w14:textId="77777777" w:rsidR="00306D53" w:rsidRDefault="00306D53" w:rsidP="0050006D"/>
        </w:tc>
        <w:tc>
          <w:tcPr>
            <w:tcW w:w="6228" w:type="dxa"/>
            <w:gridSpan w:val="2"/>
          </w:tcPr>
          <w:p w14:paraId="7C6C88E7" w14:textId="0AAF2891" w:rsidR="00E6478F" w:rsidRDefault="00306D53" w:rsidP="0050006D">
            <w:pPr>
              <w:jc w:val="center"/>
              <w:rPr>
                <w:rFonts w:ascii="Calibri" w:eastAsia="Times New Roman" w:hAnsi="Calibri" w:cs="Times New Roman"/>
                <w:b/>
                <w:color w:val="000000"/>
              </w:rPr>
            </w:pPr>
            <w:r>
              <w:rPr>
                <w:rFonts w:ascii="Calibri" w:eastAsia="Times New Roman" w:hAnsi="Calibri" w:cs="Times New Roman"/>
                <w:b/>
                <w:color w:val="000000"/>
              </w:rPr>
              <w:t>Average Rating</w:t>
            </w:r>
            <w:r w:rsidR="00D0112E">
              <w:rPr>
                <w:rFonts w:ascii="Calibri" w:eastAsia="Times New Roman" w:hAnsi="Calibri" w:cs="Times New Roman"/>
                <w:b/>
                <w:color w:val="000000"/>
              </w:rPr>
              <w:t>s</w:t>
            </w:r>
            <w:r>
              <w:rPr>
                <w:rFonts w:ascii="Calibri" w:eastAsia="Times New Roman" w:hAnsi="Calibri" w:cs="Times New Roman"/>
                <w:b/>
                <w:color w:val="000000"/>
              </w:rPr>
              <w:t xml:space="preserve"> of </w:t>
            </w:r>
            <w:r w:rsidRPr="00673B68">
              <w:rPr>
                <w:rFonts w:ascii="Calibri" w:eastAsia="Times New Roman" w:hAnsi="Calibri" w:cs="Times New Roman"/>
                <w:b/>
                <w:color w:val="000000"/>
              </w:rPr>
              <w:t>Effectiveness</w:t>
            </w:r>
            <w:r>
              <w:rPr>
                <w:rFonts w:ascii="Calibri" w:eastAsia="Times New Roman" w:hAnsi="Calibri" w:cs="Times New Roman"/>
                <w:b/>
                <w:color w:val="000000"/>
              </w:rPr>
              <w:t xml:space="preserve"> </w:t>
            </w:r>
          </w:p>
          <w:p w14:paraId="04F058EB" w14:textId="6ACD0226" w:rsidR="00306D53" w:rsidRDefault="00306D53" w:rsidP="0050006D">
            <w:pPr>
              <w:jc w:val="center"/>
              <w:rPr>
                <w:rFonts w:ascii="Calibri" w:eastAsia="Times New Roman" w:hAnsi="Calibri" w:cs="Times New Roman"/>
                <w:b/>
                <w:color w:val="000000"/>
              </w:rPr>
            </w:pPr>
            <w:r>
              <w:rPr>
                <w:rFonts w:ascii="Calibri" w:eastAsia="Times New Roman" w:hAnsi="Calibri" w:cs="Times New Roman"/>
                <w:b/>
                <w:color w:val="000000"/>
              </w:rPr>
              <w:t>Desired Functions</w:t>
            </w:r>
          </w:p>
          <w:p w14:paraId="138FD3B7" w14:textId="77777777" w:rsidR="00306D53" w:rsidRDefault="00306D53" w:rsidP="0050006D">
            <w:pPr>
              <w:jc w:val="center"/>
            </w:pPr>
            <w:r>
              <w:rPr>
                <w:rFonts w:ascii="Calibri" w:eastAsia="Times New Roman" w:hAnsi="Calibri" w:cs="Times New Roman"/>
                <w:color w:val="000000"/>
              </w:rPr>
              <w:t>1 (</w:t>
            </w:r>
            <w:r w:rsidRPr="00D963F2">
              <w:rPr>
                <w:rFonts w:ascii="Calibri" w:eastAsia="Times New Roman" w:hAnsi="Calibri" w:cs="Times New Roman"/>
                <w:color w:val="000000"/>
              </w:rPr>
              <w:t xml:space="preserve">Not </w:t>
            </w:r>
            <w:r>
              <w:rPr>
                <w:rFonts w:ascii="Calibri" w:eastAsia="Times New Roman" w:hAnsi="Calibri" w:cs="Times New Roman"/>
                <w:color w:val="000000"/>
              </w:rPr>
              <w:t xml:space="preserve">at all) </w:t>
            </w:r>
            <w:r w:rsidRPr="00D963F2">
              <w:rPr>
                <w:rFonts w:ascii="Calibri" w:eastAsia="Times New Roman" w:hAnsi="Calibri" w:cs="Times New Roman"/>
                <w:color w:val="000000"/>
              </w:rPr>
              <w:t xml:space="preserve">– 5 </w:t>
            </w:r>
            <w:r>
              <w:rPr>
                <w:rFonts w:ascii="Calibri" w:eastAsia="Times New Roman" w:hAnsi="Calibri" w:cs="Times New Roman"/>
                <w:color w:val="000000"/>
              </w:rPr>
              <w:t>(</w:t>
            </w:r>
            <w:r w:rsidRPr="00D963F2">
              <w:rPr>
                <w:rFonts w:ascii="Calibri" w:eastAsia="Times New Roman" w:hAnsi="Calibri" w:cs="Times New Roman"/>
                <w:color w:val="000000"/>
              </w:rPr>
              <w:t>Very)</w:t>
            </w:r>
          </w:p>
        </w:tc>
      </w:tr>
      <w:tr w:rsidR="00E6478F" w14:paraId="4EE04DBD" w14:textId="77777777" w:rsidTr="00396EAC">
        <w:tc>
          <w:tcPr>
            <w:tcW w:w="5598" w:type="dxa"/>
            <w:vAlign w:val="bottom"/>
          </w:tcPr>
          <w:p w14:paraId="659F5056" w14:textId="15EA21DE" w:rsidR="00E6478F" w:rsidRDefault="00E6478F" w:rsidP="00E6478F">
            <w:r>
              <w:rPr>
                <w:rFonts w:ascii="Calibri" w:eastAsia="Times New Roman" w:hAnsi="Calibri" w:cs="Times New Roman"/>
                <w:color w:val="000000"/>
              </w:rPr>
              <w:t>Identify Data Quality Issues</w:t>
            </w:r>
          </w:p>
        </w:tc>
        <w:tc>
          <w:tcPr>
            <w:tcW w:w="810" w:type="dxa"/>
            <w:vAlign w:val="bottom"/>
          </w:tcPr>
          <w:p w14:paraId="2BD9E8E2" w14:textId="5221F20D" w:rsidR="00E6478F" w:rsidRDefault="00E6478F" w:rsidP="00E6478F">
            <w:r>
              <w:rPr>
                <w:rFonts w:ascii="Calibri" w:eastAsia="Times New Roman" w:hAnsi="Calibri" w:cs="Times New Roman"/>
                <w:color w:val="000000"/>
              </w:rPr>
              <w:t>3.77</w:t>
            </w:r>
          </w:p>
        </w:tc>
        <w:tc>
          <w:tcPr>
            <w:tcW w:w="540" w:type="dxa"/>
          </w:tcPr>
          <w:p w14:paraId="61C7E052" w14:textId="77777777" w:rsidR="00E6478F" w:rsidRDefault="00E6478F" w:rsidP="00E6478F"/>
        </w:tc>
        <w:tc>
          <w:tcPr>
            <w:tcW w:w="5580" w:type="dxa"/>
            <w:vAlign w:val="bottom"/>
          </w:tcPr>
          <w:p w14:paraId="4BF588CC" w14:textId="770883CE" w:rsidR="00E6478F" w:rsidRDefault="00E6478F" w:rsidP="00E6478F">
            <w:r>
              <w:rPr>
                <w:rFonts w:ascii="Calibri" w:eastAsia="Times New Roman" w:hAnsi="Calibri" w:cs="Times New Roman"/>
                <w:color w:val="000000"/>
              </w:rPr>
              <w:t>Matches Intake Form</w:t>
            </w:r>
          </w:p>
        </w:tc>
        <w:tc>
          <w:tcPr>
            <w:tcW w:w="648" w:type="dxa"/>
            <w:vAlign w:val="bottom"/>
          </w:tcPr>
          <w:p w14:paraId="258DE03D" w14:textId="1CB5652F" w:rsidR="00E6478F" w:rsidRDefault="00E6478F" w:rsidP="00E6478F">
            <w:r>
              <w:rPr>
                <w:rFonts w:ascii="Calibri" w:eastAsia="Times New Roman" w:hAnsi="Calibri" w:cs="Times New Roman"/>
                <w:color w:val="000000"/>
              </w:rPr>
              <w:t>3.11</w:t>
            </w:r>
          </w:p>
        </w:tc>
      </w:tr>
      <w:tr w:rsidR="00E6478F" w14:paraId="2D8554CE" w14:textId="77777777" w:rsidTr="00396EAC">
        <w:tc>
          <w:tcPr>
            <w:tcW w:w="5598" w:type="dxa"/>
            <w:vAlign w:val="bottom"/>
          </w:tcPr>
          <w:p w14:paraId="0E1333BD" w14:textId="7B4FC399" w:rsidR="00E6478F" w:rsidRDefault="00E6478F" w:rsidP="00E6478F">
            <w:r>
              <w:rPr>
                <w:rFonts w:ascii="Calibri" w:eastAsia="Times New Roman" w:hAnsi="Calibri" w:cs="Times New Roman"/>
                <w:color w:val="000000"/>
              </w:rPr>
              <w:t>Easy Data Entry</w:t>
            </w:r>
          </w:p>
        </w:tc>
        <w:tc>
          <w:tcPr>
            <w:tcW w:w="810" w:type="dxa"/>
            <w:vAlign w:val="bottom"/>
          </w:tcPr>
          <w:p w14:paraId="11B4989A" w14:textId="3E0FAD7B" w:rsidR="00E6478F" w:rsidRDefault="00E6478F" w:rsidP="00E6478F">
            <w:r>
              <w:rPr>
                <w:rFonts w:ascii="Calibri" w:eastAsia="Times New Roman" w:hAnsi="Calibri" w:cs="Times New Roman"/>
                <w:color w:val="000000"/>
              </w:rPr>
              <w:t>3.67</w:t>
            </w:r>
          </w:p>
        </w:tc>
        <w:tc>
          <w:tcPr>
            <w:tcW w:w="540" w:type="dxa"/>
          </w:tcPr>
          <w:p w14:paraId="584F1599" w14:textId="77777777" w:rsidR="00E6478F" w:rsidRDefault="00E6478F" w:rsidP="00E6478F"/>
        </w:tc>
        <w:tc>
          <w:tcPr>
            <w:tcW w:w="5580" w:type="dxa"/>
            <w:vAlign w:val="bottom"/>
          </w:tcPr>
          <w:p w14:paraId="6CFC7DA0" w14:textId="75F76C8D" w:rsidR="00E6478F" w:rsidRDefault="00E6478F" w:rsidP="00E6478F">
            <w:r>
              <w:rPr>
                <w:rFonts w:ascii="Calibri" w:eastAsia="Times New Roman" w:hAnsi="Calibri" w:cs="Times New Roman"/>
                <w:color w:val="000000"/>
              </w:rPr>
              <w:t>Submit Reports Electronically</w:t>
            </w:r>
          </w:p>
        </w:tc>
        <w:tc>
          <w:tcPr>
            <w:tcW w:w="648" w:type="dxa"/>
            <w:vAlign w:val="bottom"/>
          </w:tcPr>
          <w:p w14:paraId="2D6C444F" w14:textId="300C4B12" w:rsidR="00E6478F" w:rsidRDefault="00E6478F" w:rsidP="00E6478F">
            <w:r>
              <w:rPr>
                <w:rFonts w:ascii="Calibri" w:eastAsia="Times New Roman" w:hAnsi="Calibri" w:cs="Times New Roman"/>
                <w:color w:val="000000"/>
              </w:rPr>
              <w:t>3.07</w:t>
            </w:r>
          </w:p>
        </w:tc>
      </w:tr>
      <w:tr w:rsidR="00E6478F" w14:paraId="3F82A97D" w14:textId="77777777" w:rsidTr="00396EAC">
        <w:tc>
          <w:tcPr>
            <w:tcW w:w="5598" w:type="dxa"/>
            <w:vAlign w:val="bottom"/>
          </w:tcPr>
          <w:p w14:paraId="6F132EF6" w14:textId="7A7F2CE9" w:rsidR="00E6478F" w:rsidRDefault="00E6478F" w:rsidP="00E6478F">
            <w:r>
              <w:rPr>
                <w:rFonts w:ascii="Calibri" w:eastAsia="Times New Roman" w:hAnsi="Calibri" w:cs="Times New Roman"/>
                <w:color w:val="000000"/>
              </w:rPr>
              <w:t>Update Files</w:t>
            </w:r>
          </w:p>
        </w:tc>
        <w:tc>
          <w:tcPr>
            <w:tcW w:w="810" w:type="dxa"/>
            <w:vAlign w:val="bottom"/>
          </w:tcPr>
          <w:p w14:paraId="4DFD8230" w14:textId="7BEACFB1" w:rsidR="00E6478F" w:rsidRDefault="00E6478F" w:rsidP="00E6478F">
            <w:r>
              <w:rPr>
                <w:rFonts w:ascii="Calibri" w:eastAsia="Times New Roman" w:hAnsi="Calibri" w:cs="Times New Roman"/>
                <w:color w:val="000000"/>
              </w:rPr>
              <w:t>3.48</w:t>
            </w:r>
          </w:p>
        </w:tc>
        <w:tc>
          <w:tcPr>
            <w:tcW w:w="540" w:type="dxa"/>
          </w:tcPr>
          <w:p w14:paraId="117837CB" w14:textId="77777777" w:rsidR="00E6478F" w:rsidRDefault="00E6478F" w:rsidP="00E6478F"/>
        </w:tc>
        <w:tc>
          <w:tcPr>
            <w:tcW w:w="5580" w:type="dxa"/>
            <w:vAlign w:val="bottom"/>
          </w:tcPr>
          <w:p w14:paraId="4C011DBE" w14:textId="0EB89E2D" w:rsidR="00E6478F" w:rsidRDefault="00E6478F" w:rsidP="00E6478F">
            <w:r>
              <w:rPr>
                <w:rFonts w:ascii="Calibri" w:eastAsia="Times New Roman" w:hAnsi="Calibri" w:cs="Times New Roman"/>
                <w:color w:val="000000"/>
              </w:rPr>
              <w:t>Enhance Ability to Serve Clients</w:t>
            </w:r>
          </w:p>
        </w:tc>
        <w:tc>
          <w:tcPr>
            <w:tcW w:w="648" w:type="dxa"/>
            <w:vAlign w:val="bottom"/>
          </w:tcPr>
          <w:p w14:paraId="61DEE84C" w14:textId="5B98D978" w:rsidR="00E6478F" w:rsidRDefault="00E6478F" w:rsidP="00E6478F">
            <w:r>
              <w:rPr>
                <w:rFonts w:ascii="Calibri" w:eastAsia="Times New Roman" w:hAnsi="Calibri" w:cs="Times New Roman"/>
                <w:color w:val="000000"/>
              </w:rPr>
              <w:t>2.79</w:t>
            </w:r>
          </w:p>
        </w:tc>
      </w:tr>
      <w:tr w:rsidR="00E6478F" w14:paraId="26BB8AC6" w14:textId="77777777" w:rsidTr="00396EAC">
        <w:tc>
          <w:tcPr>
            <w:tcW w:w="5598" w:type="dxa"/>
            <w:vAlign w:val="bottom"/>
          </w:tcPr>
          <w:p w14:paraId="12AD003F" w14:textId="7A2EAC9D" w:rsidR="00E6478F" w:rsidRDefault="00E6478F" w:rsidP="00E6478F">
            <w:r>
              <w:rPr>
                <w:rFonts w:ascii="Calibri" w:eastAsia="Times New Roman" w:hAnsi="Calibri" w:cs="Times New Roman"/>
                <w:color w:val="000000"/>
              </w:rPr>
              <w:t xml:space="preserve">Family Composition </w:t>
            </w:r>
          </w:p>
        </w:tc>
        <w:tc>
          <w:tcPr>
            <w:tcW w:w="810" w:type="dxa"/>
            <w:vAlign w:val="bottom"/>
          </w:tcPr>
          <w:p w14:paraId="11EF3094" w14:textId="6BA0F1DA" w:rsidR="00E6478F" w:rsidRDefault="00E6478F" w:rsidP="00E6478F">
            <w:r>
              <w:rPr>
                <w:rFonts w:ascii="Calibri" w:eastAsia="Times New Roman" w:hAnsi="Calibri" w:cs="Times New Roman"/>
                <w:color w:val="000000"/>
              </w:rPr>
              <w:t>3.3</w:t>
            </w:r>
          </w:p>
        </w:tc>
        <w:tc>
          <w:tcPr>
            <w:tcW w:w="540" w:type="dxa"/>
          </w:tcPr>
          <w:p w14:paraId="20276061" w14:textId="77777777" w:rsidR="00E6478F" w:rsidRDefault="00E6478F" w:rsidP="00E6478F"/>
        </w:tc>
        <w:tc>
          <w:tcPr>
            <w:tcW w:w="5580" w:type="dxa"/>
            <w:vAlign w:val="bottom"/>
          </w:tcPr>
          <w:p w14:paraId="21A92F13" w14:textId="0390016E" w:rsidR="00E6478F" w:rsidRDefault="00E6478F" w:rsidP="00E6478F">
            <w:r>
              <w:rPr>
                <w:rFonts w:ascii="Calibri" w:eastAsia="Times New Roman" w:hAnsi="Calibri" w:cs="Times New Roman"/>
                <w:color w:val="000000"/>
              </w:rPr>
              <w:t>Agency Level Reporting</w:t>
            </w:r>
          </w:p>
        </w:tc>
        <w:tc>
          <w:tcPr>
            <w:tcW w:w="648" w:type="dxa"/>
            <w:vAlign w:val="bottom"/>
          </w:tcPr>
          <w:p w14:paraId="727FAA77" w14:textId="46939641" w:rsidR="00E6478F" w:rsidRDefault="00E6478F" w:rsidP="00E6478F">
            <w:r>
              <w:rPr>
                <w:rFonts w:ascii="Calibri" w:eastAsia="Times New Roman" w:hAnsi="Calibri" w:cs="Times New Roman"/>
                <w:color w:val="000000"/>
              </w:rPr>
              <w:t>2.77</w:t>
            </w:r>
          </w:p>
        </w:tc>
      </w:tr>
      <w:tr w:rsidR="00E6478F" w14:paraId="4FF3ADDF" w14:textId="77777777" w:rsidTr="00396EAC">
        <w:tc>
          <w:tcPr>
            <w:tcW w:w="5598" w:type="dxa"/>
            <w:vAlign w:val="bottom"/>
          </w:tcPr>
          <w:p w14:paraId="03C78502" w14:textId="186B2AEA" w:rsidR="00E6478F" w:rsidRDefault="00E6478F" w:rsidP="00E6478F">
            <w:r>
              <w:rPr>
                <w:rFonts w:ascii="Calibri" w:eastAsia="Times New Roman" w:hAnsi="Calibri" w:cs="Times New Roman"/>
                <w:color w:val="000000"/>
              </w:rPr>
              <w:t>Run APR</w:t>
            </w:r>
          </w:p>
        </w:tc>
        <w:tc>
          <w:tcPr>
            <w:tcW w:w="810" w:type="dxa"/>
            <w:vAlign w:val="bottom"/>
          </w:tcPr>
          <w:p w14:paraId="18463E40" w14:textId="625A0A14" w:rsidR="00E6478F" w:rsidRDefault="00E6478F" w:rsidP="00E6478F">
            <w:r>
              <w:rPr>
                <w:rFonts w:ascii="Calibri" w:eastAsia="Times New Roman" w:hAnsi="Calibri" w:cs="Times New Roman"/>
                <w:color w:val="000000"/>
              </w:rPr>
              <w:t>2.59</w:t>
            </w:r>
          </w:p>
        </w:tc>
        <w:tc>
          <w:tcPr>
            <w:tcW w:w="540" w:type="dxa"/>
          </w:tcPr>
          <w:p w14:paraId="59CECA48" w14:textId="77777777" w:rsidR="00E6478F" w:rsidRDefault="00E6478F" w:rsidP="00E6478F"/>
        </w:tc>
        <w:tc>
          <w:tcPr>
            <w:tcW w:w="5580" w:type="dxa"/>
            <w:vAlign w:val="bottom"/>
          </w:tcPr>
          <w:p w14:paraId="6D330C5D" w14:textId="5B83B51F" w:rsidR="00E6478F" w:rsidRDefault="00E6478F" w:rsidP="00E6478F">
            <w:r>
              <w:rPr>
                <w:rFonts w:ascii="Calibri" w:eastAsia="Times New Roman" w:hAnsi="Calibri" w:cs="Times New Roman"/>
                <w:color w:val="000000"/>
              </w:rPr>
              <w:t>Bed Availability</w:t>
            </w:r>
          </w:p>
        </w:tc>
        <w:tc>
          <w:tcPr>
            <w:tcW w:w="648" w:type="dxa"/>
            <w:vAlign w:val="bottom"/>
          </w:tcPr>
          <w:p w14:paraId="5A6E2E51" w14:textId="66C851DB" w:rsidR="00E6478F" w:rsidRDefault="00E6478F" w:rsidP="00E6478F">
            <w:r>
              <w:rPr>
                <w:rFonts w:ascii="Calibri" w:eastAsia="Times New Roman" w:hAnsi="Calibri" w:cs="Times New Roman"/>
                <w:color w:val="000000"/>
              </w:rPr>
              <w:t>2.78</w:t>
            </w:r>
          </w:p>
        </w:tc>
      </w:tr>
      <w:tr w:rsidR="00E6478F" w14:paraId="30C4BEC5" w14:textId="77777777" w:rsidTr="00396EAC">
        <w:tc>
          <w:tcPr>
            <w:tcW w:w="5598" w:type="dxa"/>
            <w:vAlign w:val="bottom"/>
          </w:tcPr>
          <w:p w14:paraId="526212B0" w14:textId="33418E83" w:rsidR="00E6478F" w:rsidRDefault="00E6478F" w:rsidP="00E6478F">
            <w:r>
              <w:rPr>
                <w:rFonts w:ascii="Calibri" w:eastAsia="Times New Roman" w:hAnsi="Calibri" w:cs="Times New Roman"/>
                <w:color w:val="000000"/>
              </w:rPr>
              <w:t>Program Level Reporting</w:t>
            </w:r>
          </w:p>
        </w:tc>
        <w:tc>
          <w:tcPr>
            <w:tcW w:w="810" w:type="dxa"/>
            <w:vAlign w:val="bottom"/>
          </w:tcPr>
          <w:p w14:paraId="1773B924" w14:textId="75050AFB" w:rsidR="00E6478F" w:rsidRDefault="00E6478F" w:rsidP="00E6478F">
            <w:r>
              <w:rPr>
                <w:rFonts w:ascii="Calibri" w:eastAsia="Times New Roman" w:hAnsi="Calibri" w:cs="Times New Roman"/>
                <w:color w:val="000000"/>
              </w:rPr>
              <w:t>2.89</w:t>
            </w:r>
          </w:p>
        </w:tc>
        <w:tc>
          <w:tcPr>
            <w:tcW w:w="540" w:type="dxa"/>
          </w:tcPr>
          <w:p w14:paraId="4D924D54" w14:textId="77777777" w:rsidR="00E6478F" w:rsidRDefault="00E6478F" w:rsidP="00E6478F"/>
        </w:tc>
        <w:tc>
          <w:tcPr>
            <w:tcW w:w="5580" w:type="dxa"/>
            <w:vAlign w:val="bottom"/>
          </w:tcPr>
          <w:p w14:paraId="00AD72A6" w14:textId="2DF93878" w:rsidR="00E6478F" w:rsidRDefault="00E6478F" w:rsidP="00E6478F">
            <w:r>
              <w:rPr>
                <w:rFonts w:ascii="Calibri" w:eastAsia="Times New Roman" w:hAnsi="Calibri" w:cs="Times New Roman"/>
                <w:color w:val="000000"/>
              </w:rPr>
              <w:t>Enter Non HUD Data</w:t>
            </w:r>
          </w:p>
        </w:tc>
        <w:tc>
          <w:tcPr>
            <w:tcW w:w="648" w:type="dxa"/>
            <w:vAlign w:val="bottom"/>
          </w:tcPr>
          <w:p w14:paraId="191409B2" w14:textId="4CF81B60" w:rsidR="00E6478F" w:rsidRDefault="00E6478F" w:rsidP="00E6478F">
            <w:r>
              <w:rPr>
                <w:rFonts w:ascii="Calibri" w:eastAsia="Times New Roman" w:hAnsi="Calibri" w:cs="Times New Roman"/>
                <w:color w:val="000000"/>
              </w:rPr>
              <w:t>2.61</w:t>
            </w:r>
          </w:p>
        </w:tc>
      </w:tr>
      <w:tr w:rsidR="00E6478F" w14:paraId="07F3ABAA" w14:textId="77777777" w:rsidTr="00396EAC">
        <w:tc>
          <w:tcPr>
            <w:tcW w:w="5598" w:type="dxa"/>
            <w:vAlign w:val="bottom"/>
          </w:tcPr>
          <w:p w14:paraId="06D74707" w14:textId="5D8345C1" w:rsidR="00E6478F" w:rsidRDefault="00E6478F" w:rsidP="00E6478F">
            <w:r>
              <w:rPr>
                <w:rFonts w:ascii="Calibri" w:eastAsia="Times New Roman" w:hAnsi="Calibri" w:cs="Times New Roman"/>
                <w:color w:val="000000"/>
              </w:rPr>
              <w:t>Manage Duplicate Records</w:t>
            </w:r>
          </w:p>
        </w:tc>
        <w:tc>
          <w:tcPr>
            <w:tcW w:w="810" w:type="dxa"/>
            <w:vAlign w:val="bottom"/>
          </w:tcPr>
          <w:p w14:paraId="0BCC7CE6" w14:textId="72FCDA5E" w:rsidR="00E6478F" w:rsidRPr="00BF5566" w:rsidRDefault="00E6478F" w:rsidP="00E6478F">
            <w:r w:rsidRPr="00BF5566">
              <w:rPr>
                <w:rFonts w:ascii="Calibri" w:eastAsia="Times New Roman" w:hAnsi="Calibri" w:cs="Times New Roman"/>
                <w:color w:val="000000"/>
              </w:rPr>
              <w:t>2.93</w:t>
            </w:r>
            <w:r w:rsidR="00BF5566">
              <w:rPr>
                <w:rFonts w:ascii="Calibri" w:eastAsia="Times New Roman" w:hAnsi="Calibri" w:cs="Times New Roman"/>
                <w:color w:val="000000"/>
              </w:rPr>
              <w:t>*</w:t>
            </w:r>
          </w:p>
        </w:tc>
        <w:tc>
          <w:tcPr>
            <w:tcW w:w="540" w:type="dxa"/>
          </w:tcPr>
          <w:p w14:paraId="3EE038DE" w14:textId="77777777" w:rsidR="00E6478F" w:rsidRDefault="00E6478F" w:rsidP="00E6478F"/>
        </w:tc>
        <w:tc>
          <w:tcPr>
            <w:tcW w:w="5580" w:type="dxa"/>
            <w:vAlign w:val="bottom"/>
          </w:tcPr>
          <w:p w14:paraId="3AF26C69" w14:textId="653F0C29" w:rsidR="00E6478F" w:rsidRDefault="00E6478F" w:rsidP="00E6478F">
            <w:r>
              <w:rPr>
                <w:rFonts w:ascii="Calibri" w:eastAsia="Times New Roman" w:hAnsi="Calibri" w:cs="Times New Roman"/>
                <w:color w:val="000000"/>
              </w:rPr>
              <w:t>Non HUD Reporting</w:t>
            </w:r>
          </w:p>
        </w:tc>
        <w:tc>
          <w:tcPr>
            <w:tcW w:w="648" w:type="dxa"/>
            <w:vAlign w:val="bottom"/>
          </w:tcPr>
          <w:p w14:paraId="0135CC85" w14:textId="3EC27C60" w:rsidR="00E6478F" w:rsidRDefault="00E6478F" w:rsidP="00E6478F">
            <w:r>
              <w:rPr>
                <w:rFonts w:ascii="Calibri" w:eastAsia="Times New Roman" w:hAnsi="Calibri" w:cs="Times New Roman"/>
                <w:color w:val="000000"/>
              </w:rPr>
              <w:t>2.48</w:t>
            </w:r>
          </w:p>
        </w:tc>
      </w:tr>
      <w:tr w:rsidR="00E6478F" w14:paraId="43FCC9E3" w14:textId="77777777" w:rsidTr="00396EAC">
        <w:tc>
          <w:tcPr>
            <w:tcW w:w="5598" w:type="dxa"/>
            <w:vAlign w:val="bottom"/>
          </w:tcPr>
          <w:p w14:paraId="2A0D45B8" w14:textId="7EEB914F" w:rsidR="00E6478F" w:rsidRDefault="00E6478F" w:rsidP="00E6478F">
            <w:r>
              <w:rPr>
                <w:rFonts w:ascii="Calibri" w:eastAsia="Times New Roman" w:hAnsi="Calibri" w:cs="Times New Roman"/>
                <w:color w:val="000000"/>
              </w:rPr>
              <w:t>Client Assessment</w:t>
            </w:r>
          </w:p>
        </w:tc>
        <w:tc>
          <w:tcPr>
            <w:tcW w:w="810" w:type="dxa"/>
            <w:vAlign w:val="bottom"/>
          </w:tcPr>
          <w:p w14:paraId="5A386238" w14:textId="2E3271C5" w:rsidR="00E6478F" w:rsidRDefault="00E6478F" w:rsidP="00E6478F">
            <w:r>
              <w:rPr>
                <w:rFonts w:ascii="Calibri" w:eastAsia="Times New Roman" w:hAnsi="Calibri" w:cs="Times New Roman"/>
                <w:color w:val="000000"/>
              </w:rPr>
              <w:t>2.78</w:t>
            </w:r>
          </w:p>
        </w:tc>
        <w:tc>
          <w:tcPr>
            <w:tcW w:w="540" w:type="dxa"/>
          </w:tcPr>
          <w:p w14:paraId="401CF3A5" w14:textId="77777777" w:rsidR="00E6478F" w:rsidRDefault="00E6478F" w:rsidP="00E6478F"/>
        </w:tc>
        <w:tc>
          <w:tcPr>
            <w:tcW w:w="5580" w:type="dxa"/>
            <w:vAlign w:val="bottom"/>
          </w:tcPr>
          <w:p w14:paraId="31BBD550" w14:textId="0EFD871B" w:rsidR="00E6478F" w:rsidRDefault="00E6478F" w:rsidP="00E6478F">
            <w:r>
              <w:rPr>
                <w:rFonts w:ascii="Calibri" w:eastAsia="Times New Roman" w:hAnsi="Calibri" w:cs="Times New Roman"/>
                <w:color w:val="000000"/>
              </w:rPr>
              <w:t>Community Level Reporting</w:t>
            </w:r>
          </w:p>
        </w:tc>
        <w:tc>
          <w:tcPr>
            <w:tcW w:w="648" w:type="dxa"/>
            <w:vAlign w:val="bottom"/>
          </w:tcPr>
          <w:p w14:paraId="0DF325C6" w14:textId="2F34C63D" w:rsidR="00E6478F" w:rsidRDefault="00E6478F" w:rsidP="00E6478F">
            <w:r>
              <w:rPr>
                <w:rFonts w:ascii="Calibri" w:eastAsia="Times New Roman" w:hAnsi="Calibri" w:cs="Times New Roman"/>
                <w:color w:val="000000"/>
              </w:rPr>
              <w:t>2.49</w:t>
            </w:r>
          </w:p>
        </w:tc>
      </w:tr>
      <w:tr w:rsidR="00E6478F" w14:paraId="0AD294F8" w14:textId="77777777" w:rsidTr="00396EAC">
        <w:tc>
          <w:tcPr>
            <w:tcW w:w="5598" w:type="dxa"/>
            <w:vAlign w:val="bottom"/>
          </w:tcPr>
          <w:p w14:paraId="53D9E2B4" w14:textId="604365F6" w:rsidR="00E6478F" w:rsidRDefault="00E6478F" w:rsidP="00E6478F">
            <w:r>
              <w:rPr>
                <w:rFonts w:ascii="Calibri" w:eastAsia="Times New Roman" w:hAnsi="Calibri" w:cs="Times New Roman"/>
                <w:color w:val="000000"/>
              </w:rPr>
              <w:t>Case Management</w:t>
            </w:r>
          </w:p>
        </w:tc>
        <w:tc>
          <w:tcPr>
            <w:tcW w:w="810" w:type="dxa"/>
            <w:vAlign w:val="bottom"/>
          </w:tcPr>
          <w:p w14:paraId="68DAFA0A" w14:textId="14AB6E94" w:rsidR="00E6478F" w:rsidRDefault="00E6478F" w:rsidP="00E6478F">
            <w:r>
              <w:rPr>
                <w:rFonts w:ascii="Calibri" w:eastAsia="Times New Roman" w:hAnsi="Calibri" w:cs="Times New Roman"/>
                <w:color w:val="000000"/>
              </w:rPr>
              <w:t>2.66</w:t>
            </w:r>
          </w:p>
        </w:tc>
        <w:tc>
          <w:tcPr>
            <w:tcW w:w="540" w:type="dxa"/>
          </w:tcPr>
          <w:p w14:paraId="33B74BFE" w14:textId="77777777" w:rsidR="00E6478F" w:rsidRDefault="00E6478F" w:rsidP="00E6478F"/>
        </w:tc>
        <w:tc>
          <w:tcPr>
            <w:tcW w:w="5580" w:type="dxa"/>
            <w:vAlign w:val="bottom"/>
          </w:tcPr>
          <w:p w14:paraId="19EB1A81" w14:textId="16A5EB2E" w:rsidR="00E6478F" w:rsidRDefault="00E6478F" w:rsidP="00E6478F">
            <w:r>
              <w:rPr>
                <w:rFonts w:ascii="Calibri" w:eastAsia="Times New Roman" w:hAnsi="Calibri" w:cs="Times New Roman"/>
                <w:color w:val="000000"/>
              </w:rPr>
              <w:t>Custom Reporting</w:t>
            </w:r>
          </w:p>
        </w:tc>
        <w:tc>
          <w:tcPr>
            <w:tcW w:w="648" w:type="dxa"/>
            <w:vAlign w:val="bottom"/>
          </w:tcPr>
          <w:p w14:paraId="6B64886C" w14:textId="763BEF17" w:rsidR="00E6478F" w:rsidRDefault="00E6478F" w:rsidP="00E6478F">
            <w:r>
              <w:rPr>
                <w:rFonts w:ascii="Calibri" w:eastAsia="Times New Roman" w:hAnsi="Calibri" w:cs="Times New Roman"/>
                <w:color w:val="000000"/>
              </w:rPr>
              <w:t>2.44</w:t>
            </w:r>
          </w:p>
        </w:tc>
      </w:tr>
      <w:tr w:rsidR="00E6478F" w14:paraId="75BE92E6" w14:textId="77777777" w:rsidTr="00396EAC">
        <w:tc>
          <w:tcPr>
            <w:tcW w:w="5598" w:type="dxa"/>
            <w:vAlign w:val="bottom"/>
          </w:tcPr>
          <w:p w14:paraId="4BA999C7" w14:textId="5D918DE0" w:rsidR="00E6478F" w:rsidRDefault="00E6478F" w:rsidP="00E6478F"/>
        </w:tc>
        <w:tc>
          <w:tcPr>
            <w:tcW w:w="810" w:type="dxa"/>
            <w:vAlign w:val="bottom"/>
          </w:tcPr>
          <w:p w14:paraId="447D3D29" w14:textId="3E83B3B2" w:rsidR="00E6478F" w:rsidRDefault="00E6478F" w:rsidP="00E6478F"/>
        </w:tc>
        <w:tc>
          <w:tcPr>
            <w:tcW w:w="540" w:type="dxa"/>
          </w:tcPr>
          <w:p w14:paraId="13A02DE1" w14:textId="77777777" w:rsidR="00E6478F" w:rsidRDefault="00E6478F" w:rsidP="00E6478F"/>
        </w:tc>
        <w:tc>
          <w:tcPr>
            <w:tcW w:w="5580" w:type="dxa"/>
            <w:vAlign w:val="bottom"/>
          </w:tcPr>
          <w:p w14:paraId="030CDE5E" w14:textId="74504C13" w:rsidR="00E6478F" w:rsidRDefault="00E6478F" w:rsidP="00E6478F">
            <w:r>
              <w:rPr>
                <w:rFonts w:ascii="Calibri" w:eastAsia="Times New Roman" w:hAnsi="Calibri" w:cs="Times New Roman"/>
                <w:color w:val="000000"/>
              </w:rPr>
              <w:t>Sharing Data across Agencies</w:t>
            </w:r>
          </w:p>
        </w:tc>
        <w:tc>
          <w:tcPr>
            <w:tcW w:w="648" w:type="dxa"/>
            <w:vAlign w:val="bottom"/>
          </w:tcPr>
          <w:p w14:paraId="1FBB7685" w14:textId="47836585" w:rsidR="00E6478F" w:rsidRDefault="00E6478F" w:rsidP="00E6478F">
            <w:r>
              <w:rPr>
                <w:rFonts w:ascii="Calibri" w:eastAsia="Times New Roman" w:hAnsi="Calibri" w:cs="Times New Roman"/>
                <w:color w:val="000000"/>
              </w:rPr>
              <w:t>2.37</w:t>
            </w:r>
          </w:p>
        </w:tc>
      </w:tr>
      <w:tr w:rsidR="00E6478F" w14:paraId="080716BD" w14:textId="77777777" w:rsidTr="00396EAC">
        <w:tc>
          <w:tcPr>
            <w:tcW w:w="5598" w:type="dxa"/>
            <w:vAlign w:val="bottom"/>
          </w:tcPr>
          <w:p w14:paraId="2B167672" w14:textId="0233F59E" w:rsidR="00E6478F" w:rsidRDefault="00E6478F" w:rsidP="00E6478F"/>
        </w:tc>
        <w:tc>
          <w:tcPr>
            <w:tcW w:w="810" w:type="dxa"/>
            <w:vAlign w:val="bottom"/>
          </w:tcPr>
          <w:p w14:paraId="17CAB4AE" w14:textId="33FCBEE4" w:rsidR="00E6478F" w:rsidRDefault="00E6478F" w:rsidP="00E6478F"/>
        </w:tc>
        <w:tc>
          <w:tcPr>
            <w:tcW w:w="540" w:type="dxa"/>
          </w:tcPr>
          <w:p w14:paraId="568232B4" w14:textId="77777777" w:rsidR="00E6478F" w:rsidRDefault="00E6478F" w:rsidP="00E6478F"/>
        </w:tc>
        <w:tc>
          <w:tcPr>
            <w:tcW w:w="5580" w:type="dxa"/>
            <w:vAlign w:val="bottom"/>
          </w:tcPr>
          <w:p w14:paraId="5BE005C5" w14:textId="16DA7975" w:rsidR="00E6478F" w:rsidRDefault="00E6478F" w:rsidP="00E6478F">
            <w:r>
              <w:rPr>
                <w:rFonts w:ascii="Calibri" w:eastAsia="Times New Roman" w:hAnsi="Calibri" w:cs="Times New Roman"/>
                <w:color w:val="000000"/>
              </w:rPr>
              <w:t>Manage Joint Agencies</w:t>
            </w:r>
          </w:p>
        </w:tc>
        <w:tc>
          <w:tcPr>
            <w:tcW w:w="648" w:type="dxa"/>
            <w:vAlign w:val="bottom"/>
          </w:tcPr>
          <w:p w14:paraId="3C4A435D" w14:textId="567244AF" w:rsidR="00E6478F" w:rsidRDefault="00E6478F" w:rsidP="00E6478F">
            <w:r>
              <w:rPr>
                <w:rFonts w:ascii="Calibri" w:eastAsia="Times New Roman" w:hAnsi="Calibri" w:cs="Times New Roman"/>
                <w:color w:val="000000"/>
              </w:rPr>
              <w:t>2.29</w:t>
            </w:r>
          </w:p>
        </w:tc>
      </w:tr>
      <w:tr w:rsidR="00E6478F" w14:paraId="3D2BEFB2" w14:textId="77777777" w:rsidTr="00396EAC">
        <w:tc>
          <w:tcPr>
            <w:tcW w:w="5598" w:type="dxa"/>
            <w:vAlign w:val="bottom"/>
          </w:tcPr>
          <w:p w14:paraId="12FFFCDF" w14:textId="3DDBF0DD" w:rsidR="00E6478F" w:rsidRDefault="00E6478F" w:rsidP="00E6478F"/>
        </w:tc>
        <w:tc>
          <w:tcPr>
            <w:tcW w:w="810" w:type="dxa"/>
            <w:vAlign w:val="bottom"/>
          </w:tcPr>
          <w:p w14:paraId="0194B0EF" w14:textId="1E625823" w:rsidR="00E6478F" w:rsidRDefault="00E6478F" w:rsidP="00E6478F"/>
        </w:tc>
        <w:tc>
          <w:tcPr>
            <w:tcW w:w="540" w:type="dxa"/>
          </w:tcPr>
          <w:p w14:paraId="405483F6" w14:textId="77777777" w:rsidR="00E6478F" w:rsidRDefault="00E6478F" w:rsidP="00E6478F"/>
        </w:tc>
        <w:tc>
          <w:tcPr>
            <w:tcW w:w="5580" w:type="dxa"/>
            <w:vAlign w:val="bottom"/>
          </w:tcPr>
          <w:p w14:paraId="0557449F" w14:textId="78C1DCD7" w:rsidR="00E6478F" w:rsidRDefault="00E6478F" w:rsidP="00E6478F">
            <w:r>
              <w:rPr>
                <w:rFonts w:ascii="Calibri" w:eastAsia="Times New Roman" w:hAnsi="Calibri" w:cs="Times New Roman"/>
                <w:color w:val="000000"/>
              </w:rPr>
              <w:t>Exporting Data</w:t>
            </w:r>
          </w:p>
        </w:tc>
        <w:tc>
          <w:tcPr>
            <w:tcW w:w="648" w:type="dxa"/>
            <w:vAlign w:val="bottom"/>
          </w:tcPr>
          <w:p w14:paraId="7FF034F1" w14:textId="40421A31" w:rsidR="00E6478F" w:rsidRDefault="00E6478F" w:rsidP="00E6478F">
            <w:r>
              <w:rPr>
                <w:rFonts w:ascii="Calibri" w:eastAsia="Times New Roman" w:hAnsi="Calibri" w:cs="Times New Roman"/>
                <w:color w:val="000000"/>
              </w:rPr>
              <w:t>2.26</w:t>
            </w:r>
          </w:p>
        </w:tc>
      </w:tr>
      <w:tr w:rsidR="00E6478F" w14:paraId="4E14A4AE" w14:textId="77777777" w:rsidTr="00396EAC">
        <w:tc>
          <w:tcPr>
            <w:tcW w:w="5598" w:type="dxa"/>
            <w:vAlign w:val="bottom"/>
          </w:tcPr>
          <w:p w14:paraId="59975A1A" w14:textId="4CE1E2E9" w:rsidR="00E6478F" w:rsidRDefault="00E6478F" w:rsidP="00E6478F"/>
        </w:tc>
        <w:tc>
          <w:tcPr>
            <w:tcW w:w="810" w:type="dxa"/>
            <w:vAlign w:val="bottom"/>
          </w:tcPr>
          <w:p w14:paraId="1E687A81" w14:textId="39B416F7" w:rsidR="00E6478F" w:rsidRDefault="00E6478F" w:rsidP="00E6478F"/>
        </w:tc>
        <w:tc>
          <w:tcPr>
            <w:tcW w:w="540" w:type="dxa"/>
          </w:tcPr>
          <w:p w14:paraId="29305F49" w14:textId="77777777" w:rsidR="00E6478F" w:rsidRDefault="00E6478F" w:rsidP="00E6478F"/>
        </w:tc>
        <w:tc>
          <w:tcPr>
            <w:tcW w:w="5580" w:type="dxa"/>
            <w:vAlign w:val="bottom"/>
          </w:tcPr>
          <w:p w14:paraId="3FC444BE" w14:textId="42F3ADD5" w:rsidR="00E6478F" w:rsidRDefault="00E6478F" w:rsidP="00E6478F">
            <w:r>
              <w:rPr>
                <w:rFonts w:ascii="Calibri" w:eastAsia="Times New Roman" w:hAnsi="Calibri" w:cs="Times New Roman"/>
                <w:color w:val="000000"/>
              </w:rPr>
              <w:t>Finding Available Resources</w:t>
            </w:r>
          </w:p>
        </w:tc>
        <w:tc>
          <w:tcPr>
            <w:tcW w:w="648" w:type="dxa"/>
            <w:vAlign w:val="bottom"/>
          </w:tcPr>
          <w:p w14:paraId="678E02F7" w14:textId="19608AAA" w:rsidR="00E6478F" w:rsidRDefault="00E6478F" w:rsidP="00E6478F">
            <w:r>
              <w:rPr>
                <w:rFonts w:ascii="Calibri" w:eastAsia="Times New Roman" w:hAnsi="Calibri" w:cs="Times New Roman"/>
                <w:color w:val="000000"/>
              </w:rPr>
              <w:t>2.02</w:t>
            </w:r>
          </w:p>
        </w:tc>
      </w:tr>
      <w:tr w:rsidR="00E6478F" w14:paraId="410B9046" w14:textId="77777777" w:rsidTr="00396EAC">
        <w:tc>
          <w:tcPr>
            <w:tcW w:w="5598" w:type="dxa"/>
            <w:vAlign w:val="bottom"/>
          </w:tcPr>
          <w:p w14:paraId="08FE9715" w14:textId="552745CA" w:rsidR="00E6478F" w:rsidRDefault="00E6478F" w:rsidP="00E6478F"/>
        </w:tc>
        <w:tc>
          <w:tcPr>
            <w:tcW w:w="810" w:type="dxa"/>
            <w:vAlign w:val="bottom"/>
          </w:tcPr>
          <w:p w14:paraId="29F6BB60" w14:textId="10CAF50A" w:rsidR="00E6478F" w:rsidRDefault="00E6478F" w:rsidP="00E6478F"/>
        </w:tc>
        <w:tc>
          <w:tcPr>
            <w:tcW w:w="540" w:type="dxa"/>
          </w:tcPr>
          <w:p w14:paraId="797F14EF" w14:textId="77777777" w:rsidR="00E6478F" w:rsidRDefault="00E6478F" w:rsidP="00E6478F"/>
        </w:tc>
        <w:tc>
          <w:tcPr>
            <w:tcW w:w="5580" w:type="dxa"/>
            <w:vAlign w:val="bottom"/>
          </w:tcPr>
          <w:p w14:paraId="1B530478" w14:textId="27B45DC5" w:rsidR="00E6478F" w:rsidRDefault="00E6478F" w:rsidP="00E6478F">
            <w:r>
              <w:rPr>
                <w:rFonts w:ascii="Calibri" w:eastAsia="Times New Roman" w:hAnsi="Calibri" w:cs="Times New Roman"/>
                <w:color w:val="000000"/>
              </w:rPr>
              <w:t>Share Data with Other Software</w:t>
            </w:r>
          </w:p>
        </w:tc>
        <w:tc>
          <w:tcPr>
            <w:tcW w:w="648" w:type="dxa"/>
            <w:vAlign w:val="bottom"/>
          </w:tcPr>
          <w:p w14:paraId="5ADF3BF2" w14:textId="4D7E2961" w:rsidR="00E6478F" w:rsidRDefault="00E6478F" w:rsidP="00E6478F">
            <w:r>
              <w:rPr>
                <w:rFonts w:ascii="Calibri" w:eastAsia="Times New Roman" w:hAnsi="Calibri" w:cs="Times New Roman"/>
                <w:color w:val="000000"/>
              </w:rPr>
              <w:t>1.98</w:t>
            </w:r>
          </w:p>
        </w:tc>
      </w:tr>
      <w:tr w:rsidR="00E6478F" w14:paraId="5BAB483E" w14:textId="77777777" w:rsidTr="00396EAC">
        <w:tc>
          <w:tcPr>
            <w:tcW w:w="5598" w:type="dxa"/>
            <w:vAlign w:val="bottom"/>
          </w:tcPr>
          <w:p w14:paraId="73AAB3B4" w14:textId="333E55D7" w:rsidR="00E6478F" w:rsidRDefault="00E6478F" w:rsidP="00E6478F"/>
        </w:tc>
        <w:tc>
          <w:tcPr>
            <w:tcW w:w="810" w:type="dxa"/>
            <w:vAlign w:val="bottom"/>
          </w:tcPr>
          <w:p w14:paraId="76BCFE44" w14:textId="5EAD4952" w:rsidR="00E6478F" w:rsidRDefault="00E6478F" w:rsidP="00E6478F"/>
        </w:tc>
        <w:tc>
          <w:tcPr>
            <w:tcW w:w="540" w:type="dxa"/>
          </w:tcPr>
          <w:p w14:paraId="4B737CE6" w14:textId="77777777" w:rsidR="00E6478F" w:rsidRDefault="00E6478F" w:rsidP="00E6478F"/>
        </w:tc>
        <w:tc>
          <w:tcPr>
            <w:tcW w:w="5580" w:type="dxa"/>
            <w:vAlign w:val="bottom"/>
          </w:tcPr>
          <w:p w14:paraId="288B69AF" w14:textId="7C064DC5" w:rsidR="00E6478F" w:rsidRDefault="00E6478F" w:rsidP="00E6478F">
            <w:r>
              <w:rPr>
                <w:rFonts w:ascii="Calibri" w:eastAsia="Times New Roman" w:hAnsi="Calibri" w:cs="Times New Roman"/>
                <w:color w:val="000000"/>
              </w:rPr>
              <w:t>Making Referrals</w:t>
            </w:r>
          </w:p>
        </w:tc>
        <w:tc>
          <w:tcPr>
            <w:tcW w:w="648" w:type="dxa"/>
            <w:vAlign w:val="bottom"/>
          </w:tcPr>
          <w:p w14:paraId="07622828" w14:textId="18E26F1D" w:rsidR="00E6478F" w:rsidRDefault="00E6478F" w:rsidP="00E6478F">
            <w:r>
              <w:rPr>
                <w:rFonts w:ascii="Calibri" w:eastAsia="Times New Roman" w:hAnsi="Calibri" w:cs="Times New Roman"/>
                <w:color w:val="000000"/>
              </w:rPr>
              <w:t>1.86</w:t>
            </w:r>
          </w:p>
        </w:tc>
      </w:tr>
      <w:tr w:rsidR="00396EAC" w14:paraId="169EEACF" w14:textId="77777777" w:rsidTr="00396EAC">
        <w:trPr>
          <w:trHeight w:val="197"/>
        </w:trPr>
        <w:tc>
          <w:tcPr>
            <w:tcW w:w="5598" w:type="dxa"/>
            <w:vAlign w:val="bottom"/>
          </w:tcPr>
          <w:p w14:paraId="727B9B6E" w14:textId="13CDD792" w:rsidR="00396EAC" w:rsidRDefault="00396EAC" w:rsidP="00396EAC">
            <w:r>
              <w:t>AVERAGE OF AVERAGES ON CORE FUNCTIONS</w:t>
            </w:r>
          </w:p>
        </w:tc>
        <w:tc>
          <w:tcPr>
            <w:tcW w:w="810" w:type="dxa"/>
            <w:vAlign w:val="bottom"/>
          </w:tcPr>
          <w:p w14:paraId="0B06ADA5" w14:textId="5C263864" w:rsidR="00396EAC" w:rsidRDefault="00396EAC" w:rsidP="00396EAC">
            <w:r>
              <w:t>3.12</w:t>
            </w:r>
          </w:p>
        </w:tc>
        <w:tc>
          <w:tcPr>
            <w:tcW w:w="540" w:type="dxa"/>
          </w:tcPr>
          <w:p w14:paraId="1A404EF6" w14:textId="77777777" w:rsidR="00396EAC" w:rsidRDefault="00396EAC" w:rsidP="00396EAC"/>
        </w:tc>
        <w:tc>
          <w:tcPr>
            <w:tcW w:w="5580" w:type="dxa"/>
            <w:vAlign w:val="bottom"/>
          </w:tcPr>
          <w:p w14:paraId="3021F9CD" w14:textId="440845B6" w:rsidR="00396EAC" w:rsidRDefault="00396EAC" w:rsidP="00396EAC">
            <w:pPr>
              <w:rPr>
                <w:rFonts w:ascii="Calibri" w:eastAsia="Times New Roman" w:hAnsi="Calibri" w:cs="Times New Roman"/>
                <w:color w:val="000000"/>
              </w:rPr>
            </w:pPr>
            <w:r>
              <w:t>AVERAGE OF AVERAGES ON DESIRED FUNCTIONS</w:t>
            </w:r>
          </w:p>
        </w:tc>
        <w:tc>
          <w:tcPr>
            <w:tcW w:w="648" w:type="dxa"/>
            <w:vAlign w:val="bottom"/>
          </w:tcPr>
          <w:p w14:paraId="2278FD6C" w14:textId="48EE5A29" w:rsidR="00396EAC" w:rsidRDefault="00396EAC" w:rsidP="00396EAC">
            <w:pPr>
              <w:rPr>
                <w:rFonts w:ascii="Calibri" w:eastAsia="Times New Roman" w:hAnsi="Calibri" w:cs="Times New Roman"/>
                <w:color w:val="000000"/>
              </w:rPr>
            </w:pPr>
            <w:r>
              <w:rPr>
                <w:rFonts w:ascii="Calibri" w:eastAsia="Times New Roman" w:hAnsi="Calibri" w:cs="Times New Roman"/>
                <w:color w:val="000000"/>
              </w:rPr>
              <w:t>2.49</w:t>
            </w:r>
          </w:p>
        </w:tc>
      </w:tr>
    </w:tbl>
    <w:p w14:paraId="64866F48" w14:textId="729D2775" w:rsidR="00306D53" w:rsidRPr="00BF5566" w:rsidRDefault="00BF5566" w:rsidP="00BF5566">
      <w:pPr>
        <w:rPr>
          <w:sz w:val="20"/>
          <w:szCs w:val="20"/>
        </w:rPr>
      </w:pPr>
      <w:r w:rsidRPr="00BF5566">
        <w:rPr>
          <w:sz w:val="20"/>
          <w:szCs w:val="20"/>
        </w:rPr>
        <w:t xml:space="preserve">* Management of Duplicate Records is also completed on the System Administration side of the system. </w:t>
      </w:r>
    </w:p>
    <w:p w14:paraId="7A35D774" w14:textId="2C64E8B6" w:rsidR="00BF5566" w:rsidRDefault="0054050B">
      <w:r>
        <w:rPr>
          <w:noProof/>
        </w:rPr>
        <w:lastRenderedPageBreak/>
        <w:drawing>
          <wp:inline distT="0" distB="0" distL="0" distR="0" wp14:anchorId="2656F825" wp14:editId="2879F59E">
            <wp:extent cx="8048625" cy="50101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4062B6" w14:textId="75E1DCE2" w:rsidR="00BF5566" w:rsidRDefault="00BF5566" w:rsidP="00BF5566"/>
    <w:p w14:paraId="74E3D371" w14:textId="62A3A9D0" w:rsidR="00673B68" w:rsidRPr="00BF5566" w:rsidRDefault="00BF5566" w:rsidP="00BF5566">
      <w:pPr>
        <w:tabs>
          <w:tab w:val="left" w:pos="90"/>
        </w:tabs>
        <w:rPr>
          <w:rFonts w:ascii="Arial Narrow" w:hAnsi="Arial Narrow"/>
        </w:rPr>
      </w:pPr>
      <w:r w:rsidRPr="00BF5566">
        <w:rPr>
          <w:rFonts w:ascii="Arial Narrow" w:hAnsi="Arial Narrow"/>
        </w:rPr>
        <w:tab/>
        <w:t xml:space="preserve">This chart compares the average rating of effectiveness to the average rating of importance for each function.  The list is sorted by magnitude of difference with the top row having the biggest discrepancy between the importance of a function for users and the effectiveness of the function in the current system. </w:t>
      </w:r>
    </w:p>
    <w:sectPr w:rsidR="00673B68" w:rsidRPr="00BF5566" w:rsidSect="00D0112E">
      <w:headerReference w:type="default" r:id="rId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339DD" w14:textId="77777777" w:rsidR="00B063A7" w:rsidRDefault="00B063A7" w:rsidP="0083520B">
      <w:r>
        <w:separator/>
      </w:r>
    </w:p>
  </w:endnote>
  <w:endnote w:type="continuationSeparator" w:id="0">
    <w:p w14:paraId="7579A401" w14:textId="77777777" w:rsidR="00B063A7" w:rsidRDefault="00B063A7" w:rsidP="0083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FD078" w14:textId="77777777" w:rsidR="00B063A7" w:rsidRDefault="00B063A7" w:rsidP="0083520B">
      <w:r>
        <w:separator/>
      </w:r>
    </w:p>
  </w:footnote>
  <w:footnote w:type="continuationSeparator" w:id="0">
    <w:p w14:paraId="1C6A1DC2" w14:textId="77777777" w:rsidR="00B063A7" w:rsidRDefault="00B063A7" w:rsidP="008352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BEDA0" w14:textId="77777777" w:rsidR="0050006D" w:rsidRDefault="0050006D">
    <w:pPr>
      <w:pStyle w:val="Header"/>
    </w:pPr>
  </w:p>
  <w:p w14:paraId="4047FA4D" w14:textId="77777777" w:rsidR="0050006D" w:rsidRDefault="005000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765E5"/>
    <w:multiLevelType w:val="hybridMultilevel"/>
    <w:tmpl w:val="8C8C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68"/>
    <w:rsid w:val="00150C39"/>
    <w:rsid w:val="00306D53"/>
    <w:rsid w:val="00396EAC"/>
    <w:rsid w:val="003E2482"/>
    <w:rsid w:val="00407F58"/>
    <w:rsid w:val="004672C4"/>
    <w:rsid w:val="004C408B"/>
    <w:rsid w:val="0050006D"/>
    <w:rsid w:val="0054050B"/>
    <w:rsid w:val="00673B68"/>
    <w:rsid w:val="007A03C8"/>
    <w:rsid w:val="0083520B"/>
    <w:rsid w:val="00A57544"/>
    <w:rsid w:val="00B063A7"/>
    <w:rsid w:val="00BF5566"/>
    <w:rsid w:val="00C54D46"/>
    <w:rsid w:val="00D0112E"/>
    <w:rsid w:val="00D47C31"/>
    <w:rsid w:val="00D963F2"/>
    <w:rsid w:val="00E6478F"/>
    <w:rsid w:val="00FC5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D9D6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B68"/>
    <w:rPr>
      <w:rFonts w:ascii="Lucida Grande" w:hAnsi="Lucida Grande"/>
      <w:sz w:val="18"/>
      <w:szCs w:val="18"/>
    </w:rPr>
  </w:style>
  <w:style w:type="character" w:customStyle="1" w:styleId="BalloonTextChar">
    <w:name w:val="Balloon Text Char"/>
    <w:basedOn w:val="DefaultParagraphFont"/>
    <w:link w:val="BalloonText"/>
    <w:uiPriority w:val="99"/>
    <w:semiHidden/>
    <w:rsid w:val="00673B68"/>
    <w:rPr>
      <w:rFonts w:ascii="Lucida Grande" w:hAnsi="Lucida Grande"/>
      <w:sz w:val="18"/>
      <w:szCs w:val="18"/>
    </w:rPr>
  </w:style>
  <w:style w:type="paragraph" w:styleId="Header">
    <w:name w:val="header"/>
    <w:basedOn w:val="Normal"/>
    <w:link w:val="HeaderChar"/>
    <w:uiPriority w:val="99"/>
    <w:unhideWhenUsed/>
    <w:rsid w:val="0083520B"/>
    <w:pPr>
      <w:tabs>
        <w:tab w:val="center" w:pos="4320"/>
        <w:tab w:val="right" w:pos="8640"/>
      </w:tabs>
    </w:pPr>
  </w:style>
  <w:style w:type="character" w:customStyle="1" w:styleId="HeaderChar">
    <w:name w:val="Header Char"/>
    <w:basedOn w:val="DefaultParagraphFont"/>
    <w:link w:val="Header"/>
    <w:uiPriority w:val="99"/>
    <w:rsid w:val="0083520B"/>
  </w:style>
  <w:style w:type="paragraph" w:styleId="Footer">
    <w:name w:val="footer"/>
    <w:basedOn w:val="Normal"/>
    <w:link w:val="FooterChar"/>
    <w:uiPriority w:val="99"/>
    <w:unhideWhenUsed/>
    <w:rsid w:val="0083520B"/>
    <w:pPr>
      <w:tabs>
        <w:tab w:val="center" w:pos="4320"/>
        <w:tab w:val="right" w:pos="8640"/>
      </w:tabs>
    </w:pPr>
  </w:style>
  <w:style w:type="character" w:customStyle="1" w:styleId="FooterChar">
    <w:name w:val="Footer Char"/>
    <w:basedOn w:val="DefaultParagraphFont"/>
    <w:link w:val="Footer"/>
    <w:uiPriority w:val="99"/>
    <w:rsid w:val="0083520B"/>
  </w:style>
  <w:style w:type="table" w:styleId="TableGrid">
    <w:name w:val="Table Grid"/>
    <w:basedOn w:val="TableNormal"/>
    <w:uiPriority w:val="59"/>
    <w:rsid w:val="00306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47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B68"/>
    <w:rPr>
      <w:rFonts w:ascii="Lucida Grande" w:hAnsi="Lucida Grande"/>
      <w:sz w:val="18"/>
      <w:szCs w:val="18"/>
    </w:rPr>
  </w:style>
  <w:style w:type="character" w:customStyle="1" w:styleId="BalloonTextChar">
    <w:name w:val="Balloon Text Char"/>
    <w:basedOn w:val="DefaultParagraphFont"/>
    <w:link w:val="BalloonText"/>
    <w:uiPriority w:val="99"/>
    <w:semiHidden/>
    <w:rsid w:val="00673B68"/>
    <w:rPr>
      <w:rFonts w:ascii="Lucida Grande" w:hAnsi="Lucida Grande"/>
      <w:sz w:val="18"/>
      <w:szCs w:val="18"/>
    </w:rPr>
  </w:style>
  <w:style w:type="paragraph" w:styleId="Header">
    <w:name w:val="header"/>
    <w:basedOn w:val="Normal"/>
    <w:link w:val="HeaderChar"/>
    <w:uiPriority w:val="99"/>
    <w:unhideWhenUsed/>
    <w:rsid w:val="0083520B"/>
    <w:pPr>
      <w:tabs>
        <w:tab w:val="center" w:pos="4320"/>
        <w:tab w:val="right" w:pos="8640"/>
      </w:tabs>
    </w:pPr>
  </w:style>
  <w:style w:type="character" w:customStyle="1" w:styleId="HeaderChar">
    <w:name w:val="Header Char"/>
    <w:basedOn w:val="DefaultParagraphFont"/>
    <w:link w:val="Header"/>
    <w:uiPriority w:val="99"/>
    <w:rsid w:val="0083520B"/>
  </w:style>
  <w:style w:type="paragraph" w:styleId="Footer">
    <w:name w:val="footer"/>
    <w:basedOn w:val="Normal"/>
    <w:link w:val="FooterChar"/>
    <w:uiPriority w:val="99"/>
    <w:unhideWhenUsed/>
    <w:rsid w:val="0083520B"/>
    <w:pPr>
      <w:tabs>
        <w:tab w:val="center" w:pos="4320"/>
        <w:tab w:val="right" w:pos="8640"/>
      </w:tabs>
    </w:pPr>
  </w:style>
  <w:style w:type="character" w:customStyle="1" w:styleId="FooterChar">
    <w:name w:val="Footer Char"/>
    <w:basedOn w:val="DefaultParagraphFont"/>
    <w:link w:val="Footer"/>
    <w:uiPriority w:val="99"/>
    <w:rsid w:val="0083520B"/>
  </w:style>
  <w:style w:type="table" w:styleId="TableGrid">
    <w:name w:val="Table Grid"/>
    <w:basedOn w:val="TableNormal"/>
    <w:uiPriority w:val="59"/>
    <w:rsid w:val="00306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4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40859">
      <w:bodyDiv w:val="1"/>
      <w:marLeft w:val="0"/>
      <w:marRight w:val="0"/>
      <w:marTop w:val="0"/>
      <w:marBottom w:val="0"/>
      <w:divBdr>
        <w:top w:val="none" w:sz="0" w:space="0" w:color="auto"/>
        <w:left w:val="none" w:sz="0" w:space="0" w:color="auto"/>
        <w:bottom w:val="none" w:sz="0" w:space="0" w:color="auto"/>
        <w:right w:val="none" w:sz="0" w:space="0" w:color="auto"/>
      </w:divBdr>
    </w:div>
    <w:div w:id="1695888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lstillm7:Desktop:Importane%20and%20Effectivenes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Average</a:t>
            </a:r>
            <a:r>
              <a:rPr lang="en-US" baseline="0"/>
              <a:t> Importance versus Average Effectiveness</a:t>
            </a:r>
            <a:endParaRPr lang="en-US"/>
          </a:p>
        </c:rich>
      </c:tx>
      <c:overlay val="0"/>
    </c:title>
    <c:autoTitleDeleted val="0"/>
    <c:plotArea>
      <c:layout/>
      <c:barChart>
        <c:barDir val="bar"/>
        <c:grouping val="clustered"/>
        <c:varyColors val="0"/>
        <c:ser>
          <c:idx val="0"/>
          <c:order val="0"/>
          <c:tx>
            <c:strRef>
              <c:f>'Difference - BoS'!$B$1</c:f>
              <c:strCache>
                <c:ptCount val="1"/>
                <c:pt idx="0">
                  <c:v>Importance</c:v>
                </c:pt>
              </c:strCache>
            </c:strRef>
          </c:tx>
          <c:invertIfNegative val="0"/>
          <c:cat>
            <c:strRef>
              <c:f>'Difference - BoS'!$A$2:$A$19</c:f>
              <c:strCache>
                <c:ptCount val="18"/>
                <c:pt idx="0">
                  <c:v>Client Assessment</c:v>
                </c:pt>
                <c:pt idx="1">
                  <c:v>Identify Data Quality Issues</c:v>
                </c:pt>
                <c:pt idx="2">
                  <c:v>Non HUD Reporting</c:v>
                </c:pt>
                <c:pt idx="3">
                  <c:v>Case Management</c:v>
                </c:pt>
                <c:pt idx="4">
                  <c:v>Bed Availability</c:v>
                </c:pt>
                <c:pt idx="5">
                  <c:v>Manage Joint Programs</c:v>
                </c:pt>
                <c:pt idx="6">
                  <c:v>Community Level Reporting</c:v>
                </c:pt>
                <c:pt idx="7">
                  <c:v>Program Level Reporting</c:v>
                </c:pt>
                <c:pt idx="8">
                  <c:v>Exporting Data</c:v>
                </c:pt>
                <c:pt idx="9">
                  <c:v>Enter Non HUD Data</c:v>
                </c:pt>
                <c:pt idx="10">
                  <c:v>Enhance Ability to Serve Clients</c:v>
                </c:pt>
                <c:pt idx="11">
                  <c:v>Agency Level Reporting</c:v>
                </c:pt>
                <c:pt idx="12">
                  <c:v>Share Data Across Agencies</c:v>
                </c:pt>
                <c:pt idx="13">
                  <c:v>Submit Reports Electronically</c:v>
                </c:pt>
                <c:pt idx="14">
                  <c:v>Share Data with Other Software</c:v>
                </c:pt>
                <c:pt idx="15">
                  <c:v>Custom Reporting</c:v>
                </c:pt>
                <c:pt idx="16">
                  <c:v>Easy Data Entry</c:v>
                </c:pt>
                <c:pt idx="17">
                  <c:v>Information and Referral</c:v>
                </c:pt>
              </c:strCache>
            </c:strRef>
          </c:cat>
          <c:val>
            <c:numRef>
              <c:f>'Difference - BoS'!$B$2:$B$19</c:f>
              <c:numCache>
                <c:formatCode>General</c:formatCode>
                <c:ptCount val="18"/>
                <c:pt idx="0">
                  <c:v>3.17</c:v>
                </c:pt>
                <c:pt idx="1">
                  <c:v>4.31</c:v>
                </c:pt>
                <c:pt idx="2">
                  <c:v>3.02</c:v>
                </c:pt>
                <c:pt idx="3">
                  <c:v>3.3</c:v>
                </c:pt>
                <c:pt idx="4">
                  <c:v>3.43</c:v>
                </c:pt>
                <c:pt idx="5">
                  <c:v>3.0</c:v>
                </c:pt>
                <c:pt idx="6">
                  <c:v>3.2</c:v>
                </c:pt>
                <c:pt idx="7">
                  <c:v>3.6</c:v>
                </c:pt>
                <c:pt idx="8">
                  <c:v>3.1</c:v>
                </c:pt>
                <c:pt idx="9">
                  <c:v>3.46</c:v>
                </c:pt>
                <c:pt idx="10">
                  <c:v>3.66</c:v>
                </c:pt>
                <c:pt idx="11">
                  <c:v>3.65</c:v>
                </c:pt>
                <c:pt idx="12">
                  <c:v>3.36</c:v>
                </c:pt>
                <c:pt idx="13">
                  <c:v>4.06</c:v>
                </c:pt>
                <c:pt idx="14">
                  <c:v>3.0</c:v>
                </c:pt>
                <c:pt idx="15">
                  <c:v>3.52</c:v>
                </c:pt>
                <c:pt idx="16">
                  <c:v>4.81</c:v>
                </c:pt>
                <c:pt idx="17">
                  <c:v>3.06</c:v>
                </c:pt>
              </c:numCache>
            </c:numRef>
          </c:val>
        </c:ser>
        <c:ser>
          <c:idx val="1"/>
          <c:order val="1"/>
          <c:tx>
            <c:strRef>
              <c:f>'Difference - BoS'!$C$1</c:f>
              <c:strCache>
                <c:ptCount val="1"/>
                <c:pt idx="0">
                  <c:v>Effectiveness</c:v>
                </c:pt>
              </c:strCache>
            </c:strRef>
          </c:tx>
          <c:invertIfNegative val="0"/>
          <c:cat>
            <c:strRef>
              <c:f>'Difference - BoS'!$A$2:$A$19</c:f>
              <c:strCache>
                <c:ptCount val="18"/>
                <c:pt idx="0">
                  <c:v>Client Assessment</c:v>
                </c:pt>
                <c:pt idx="1">
                  <c:v>Identify Data Quality Issues</c:v>
                </c:pt>
                <c:pt idx="2">
                  <c:v>Non HUD Reporting</c:v>
                </c:pt>
                <c:pt idx="3">
                  <c:v>Case Management</c:v>
                </c:pt>
                <c:pt idx="4">
                  <c:v>Bed Availability</c:v>
                </c:pt>
                <c:pt idx="5">
                  <c:v>Manage Joint Programs</c:v>
                </c:pt>
                <c:pt idx="6">
                  <c:v>Community Level Reporting</c:v>
                </c:pt>
                <c:pt idx="7">
                  <c:v>Program Level Reporting</c:v>
                </c:pt>
                <c:pt idx="8">
                  <c:v>Exporting Data</c:v>
                </c:pt>
                <c:pt idx="9">
                  <c:v>Enter Non HUD Data</c:v>
                </c:pt>
                <c:pt idx="10">
                  <c:v>Enhance Ability to Serve Clients</c:v>
                </c:pt>
                <c:pt idx="11">
                  <c:v>Agency Level Reporting</c:v>
                </c:pt>
                <c:pt idx="12">
                  <c:v>Share Data Across Agencies</c:v>
                </c:pt>
                <c:pt idx="13">
                  <c:v>Submit Reports Electronically</c:v>
                </c:pt>
                <c:pt idx="14">
                  <c:v>Share Data with Other Software</c:v>
                </c:pt>
                <c:pt idx="15">
                  <c:v>Custom Reporting</c:v>
                </c:pt>
                <c:pt idx="16">
                  <c:v>Easy Data Entry</c:v>
                </c:pt>
                <c:pt idx="17">
                  <c:v>Information and Referral</c:v>
                </c:pt>
              </c:strCache>
            </c:strRef>
          </c:cat>
          <c:val>
            <c:numRef>
              <c:f>'Difference - BoS'!$C$2:$C$19</c:f>
              <c:numCache>
                <c:formatCode>General</c:formatCode>
                <c:ptCount val="18"/>
                <c:pt idx="0">
                  <c:v>2.78</c:v>
                </c:pt>
                <c:pt idx="1">
                  <c:v>3.77</c:v>
                </c:pt>
                <c:pt idx="2">
                  <c:v>2.48</c:v>
                </c:pt>
                <c:pt idx="3">
                  <c:v>2.66</c:v>
                </c:pt>
                <c:pt idx="4">
                  <c:v>2.78</c:v>
                </c:pt>
                <c:pt idx="5">
                  <c:v>2.29</c:v>
                </c:pt>
                <c:pt idx="6">
                  <c:v>2.49</c:v>
                </c:pt>
                <c:pt idx="7">
                  <c:v>2.89</c:v>
                </c:pt>
                <c:pt idx="8">
                  <c:v>2.26</c:v>
                </c:pt>
                <c:pt idx="9">
                  <c:v>2.61</c:v>
                </c:pt>
                <c:pt idx="10">
                  <c:v>2.79</c:v>
                </c:pt>
                <c:pt idx="11">
                  <c:v>2.77</c:v>
                </c:pt>
                <c:pt idx="12">
                  <c:v>2.37</c:v>
                </c:pt>
                <c:pt idx="13">
                  <c:v>3.07</c:v>
                </c:pt>
                <c:pt idx="14">
                  <c:v>1.98</c:v>
                </c:pt>
                <c:pt idx="15">
                  <c:v>2.44</c:v>
                </c:pt>
                <c:pt idx="16">
                  <c:v>3.67</c:v>
                </c:pt>
                <c:pt idx="17">
                  <c:v>1.86</c:v>
                </c:pt>
              </c:numCache>
            </c:numRef>
          </c:val>
        </c:ser>
        <c:dLbls>
          <c:showLegendKey val="0"/>
          <c:showVal val="0"/>
          <c:showCatName val="0"/>
          <c:showSerName val="0"/>
          <c:showPercent val="0"/>
          <c:showBubbleSize val="0"/>
        </c:dLbls>
        <c:gapWidth val="150"/>
        <c:axId val="2089215256"/>
        <c:axId val="2089730440"/>
      </c:barChart>
      <c:catAx>
        <c:axId val="2089215256"/>
        <c:scaling>
          <c:orientation val="minMax"/>
        </c:scaling>
        <c:delete val="0"/>
        <c:axPos val="l"/>
        <c:title>
          <c:tx>
            <c:rich>
              <a:bodyPr/>
              <a:lstStyle/>
              <a:p>
                <a:pPr>
                  <a:defRPr/>
                </a:pPr>
                <a:r>
                  <a:rPr lang="en-US"/>
                  <a:t>Function</a:t>
                </a:r>
              </a:p>
            </c:rich>
          </c:tx>
          <c:overlay val="0"/>
        </c:title>
        <c:numFmt formatCode="General" sourceLinked="0"/>
        <c:majorTickMark val="none"/>
        <c:minorTickMark val="none"/>
        <c:tickLblPos val="nextTo"/>
        <c:crossAx val="2089730440"/>
        <c:crosses val="autoZero"/>
        <c:auto val="1"/>
        <c:lblAlgn val="ctr"/>
        <c:lblOffset val="100"/>
        <c:noMultiLvlLbl val="0"/>
      </c:catAx>
      <c:valAx>
        <c:axId val="2089730440"/>
        <c:scaling>
          <c:orientation val="minMax"/>
          <c:max val="5.0"/>
        </c:scaling>
        <c:delete val="0"/>
        <c:axPos val="b"/>
        <c:majorGridlines/>
        <c:title>
          <c:tx>
            <c:rich>
              <a:bodyPr/>
              <a:lstStyle/>
              <a:p>
                <a:pPr>
                  <a:defRPr/>
                </a:pPr>
                <a:r>
                  <a:rPr lang="en-US"/>
                  <a:t>1 - Not</a:t>
                </a:r>
                <a:r>
                  <a:rPr lang="en-US" baseline="0"/>
                  <a:t> at All              5 - Very </a:t>
                </a:r>
                <a:endParaRPr lang="en-US"/>
              </a:p>
            </c:rich>
          </c:tx>
          <c:overlay val="0"/>
        </c:title>
        <c:numFmt formatCode="General" sourceLinked="1"/>
        <c:majorTickMark val="out"/>
        <c:minorTickMark val="none"/>
        <c:tickLblPos val="nextTo"/>
        <c:crossAx val="2089215256"/>
        <c:crosses val="autoZero"/>
        <c:crossBetween val="between"/>
      </c:valAx>
    </c:plotArea>
    <c:legend>
      <c:legendPos val="r"/>
      <c:overlay val="0"/>
      <c:txPr>
        <a:bodyPr/>
        <a:lstStyle/>
        <a:p>
          <a:pPr>
            <a:defRPr sz="12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761</Words>
  <Characters>4338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Stillman</dc:creator>
  <cp:keywords/>
  <dc:description/>
  <cp:lastModifiedBy>Lindsey Stillman</cp:lastModifiedBy>
  <cp:revision>3</cp:revision>
  <dcterms:created xsi:type="dcterms:W3CDTF">2014-05-14T10:49:00Z</dcterms:created>
  <dcterms:modified xsi:type="dcterms:W3CDTF">2014-05-14T11:16:00Z</dcterms:modified>
</cp:coreProperties>
</file>