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49C6" w:rsidRPr="009D49C6" w:rsidRDefault="009D49C6" w:rsidP="009D49C6">
      <w:pPr>
        <w:jc w:val="center"/>
        <w:rPr>
          <w:b/>
          <w:sz w:val="44"/>
          <w:szCs w:val="44"/>
        </w:rPr>
      </w:pPr>
      <w:r w:rsidRPr="009D49C6">
        <w:rPr>
          <w:b/>
          <w:sz w:val="44"/>
          <w:szCs w:val="44"/>
        </w:rPr>
        <w:t>Q&amp;A Part 1, April 1</w:t>
      </w:r>
      <w:r w:rsidRPr="009D49C6">
        <w:rPr>
          <w:b/>
          <w:sz w:val="44"/>
          <w:szCs w:val="44"/>
          <w:vertAlign w:val="superscript"/>
        </w:rPr>
        <w:t>st</w:t>
      </w:r>
      <w:r w:rsidRPr="009D49C6">
        <w:rPr>
          <w:b/>
          <w:sz w:val="44"/>
          <w:szCs w:val="44"/>
        </w:rPr>
        <w:t>, 2019</w:t>
      </w:r>
    </w:p>
    <w:p w:rsidR="009D49C6" w:rsidRPr="00575C69" w:rsidRDefault="00575C69" w:rsidP="00575C69">
      <w:pPr>
        <w:ind w:left="288" w:hanging="288"/>
        <w:rPr>
          <w:b/>
          <w:sz w:val="24"/>
          <w:szCs w:val="24"/>
        </w:rPr>
      </w:pPr>
      <w:r w:rsidRPr="00575C69">
        <w:rPr>
          <w:b/>
          <w:sz w:val="24"/>
          <w:szCs w:val="24"/>
        </w:rPr>
        <w:t xml:space="preserve">Q: </w:t>
      </w:r>
      <w:r w:rsidR="009D49C6" w:rsidRPr="00575C69">
        <w:rPr>
          <w:b/>
          <w:sz w:val="24"/>
          <w:szCs w:val="24"/>
        </w:rPr>
        <w:t>The RFP states "</w:t>
      </w:r>
      <w:r w:rsidR="009D49C6" w:rsidRPr="00575C69">
        <w:rPr>
          <w:rFonts w:ascii="Calibri" w:hAnsi="Calibri" w:cs="Calibri"/>
          <w:b/>
          <w:i/>
          <w:iCs/>
          <w:sz w:val="24"/>
          <w:szCs w:val="24"/>
          <w:u w:val="single"/>
        </w:rPr>
        <w:t xml:space="preserve">strive </w:t>
      </w:r>
      <w:r w:rsidR="009D49C6" w:rsidRPr="00575C69">
        <w:rPr>
          <w:rFonts w:ascii="Calibri" w:hAnsi="Calibri" w:cs="Calibri"/>
          <w:b/>
          <w:sz w:val="24"/>
          <w:szCs w:val="24"/>
        </w:rPr>
        <w:t>to keep admin below 10%” then below says “up to 10% grant administrative costs”. The first part of this seems to indicate it is not a hard cap</w:t>
      </w:r>
      <w:r w:rsidR="009D49C6" w:rsidRPr="00575C69">
        <w:rPr>
          <w:rFonts w:ascii="Calibri" w:hAnsi="Calibri" w:cs="Calibri"/>
          <w:b/>
          <w:bCs/>
          <w:sz w:val="24"/>
          <w:szCs w:val="24"/>
        </w:rPr>
        <w:t>.  I just want to clarify if the cap is a hard 10% or not. </w:t>
      </w:r>
    </w:p>
    <w:p w:rsidR="00DC5BE9" w:rsidRPr="00575C69" w:rsidRDefault="00575C69" w:rsidP="00575C69">
      <w:pPr>
        <w:ind w:left="288" w:hanging="288"/>
        <w:rPr>
          <w:sz w:val="24"/>
          <w:szCs w:val="24"/>
        </w:rPr>
      </w:pPr>
      <w:r w:rsidRPr="00575C69">
        <w:rPr>
          <w:rFonts w:ascii="Calibri" w:hAnsi="Calibri" w:cs="Calibri"/>
          <w:bCs/>
          <w:sz w:val="24"/>
          <w:szCs w:val="24"/>
        </w:rPr>
        <w:t xml:space="preserve">A: </w:t>
      </w:r>
      <w:r w:rsidR="00DC5BE9" w:rsidRPr="00575C69">
        <w:rPr>
          <w:rFonts w:ascii="Calibri" w:hAnsi="Calibri" w:cs="Calibri"/>
          <w:bCs/>
          <w:sz w:val="24"/>
          <w:szCs w:val="24"/>
        </w:rPr>
        <w:t xml:space="preserve">Yes, </w:t>
      </w:r>
      <w:r>
        <w:rPr>
          <w:rFonts w:ascii="Calibri" w:hAnsi="Calibri" w:cs="Calibri"/>
          <w:bCs/>
          <w:sz w:val="24"/>
          <w:szCs w:val="24"/>
        </w:rPr>
        <w:t xml:space="preserve">under the CoC Program, project administration costs are capped at 10% of the project award. If a recipient or subrecipient is using other funds to pay for project administration costs that would be covered under the CoC Program, it could use those costs as match for their grant. </w:t>
      </w:r>
    </w:p>
    <w:p w:rsidR="009D49C6" w:rsidRPr="009D49C6" w:rsidRDefault="009D49C6" w:rsidP="009D49C6">
      <w:pPr>
        <w:rPr>
          <w:sz w:val="24"/>
          <w:szCs w:val="24"/>
        </w:rPr>
      </w:pPr>
    </w:p>
    <w:p w:rsidR="009D49C6" w:rsidRPr="00575C69" w:rsidRDefault="00575C69" w:rsidP="00575C69">
      <w:pPr>
        <w:ind w:left="288" w:hanging="288"/>
        <w:rPr>
          <w:b/>
          <w:sz w:val="24"/>
          <w:szCs w:val="24"/>
        </w:rPr>
      </w:pPr>
      <w:r w:rsidRPr="00575C69">
        <w:rPr>
          <w:rFonts w:ascii="Calibri" w:hAnsi="Calibri" w:cs="Calibri"/>
          <w:b/>
          <w:sz w:val="24"/>
          <w:szCs w:val="24"/>
        </w:rPr>
        <w:t xml:space="preserve">Q: </w:t>
      </w:r>
      <w:r w:rsidR="009D49C6" w:rsidRPr="00575C69">
        <w:rPr>
          <w:rFonts w:ascii="Calibri" w:hAnsi="Calibri" w:cs="Calibri"/>
          <w:b/>
          <w:sz w:val="24"/>
          <w:szCs w:val="24"/>
        </w:rPr>
        <w:t xml:space="preserve">The RFP states that applicants have polices that ensure </w:t>
      </w:r>
      <w:r w:rsidRPr="00575C69">
        <w:rPr>
          <w:rFonts w:ascii="Calibri" w:hAnsi="Calibri" w:cs="Calibri"/>
          <w:b/>
          <w:sz w:val="24"/>
          <w:szCs w:val="24"/>
        </w:rPr>
        <w:t>youth</w:t>
      </w:r>
      <w:r w:rsidR="009D49C6" w:rsidRPr="00575C69">
        <w:rPr>
          <w:rFonts w:ascii="Calibri" w:hAnsi="Calibri" w:cs="Calibri"/>
          <w:b/>
          <w:sz w:val="24"/>
          <w:szCs w:val="24"/>
        </w:rPr>
        <w:t xml:space="preserve"> are not terminated from housing programs due to failure to patriciate in</w:t>
      </w:r>
      <w:r w:rsidRPr="00575C69">
        <w:rPr>
          <w:rFonts w:ascii="Calibri" w:hAnsi="Calibri" w:cs="Calibri"/>
          <w:b/>
          <w:sz w:val="24"/>
          <w:szCs w:val="24"/>
        </w:rPr>
        <w:t xml:space="preserve"> agreed upon support services, </w:t>
      </w:r>
      <w:r w:rsidR="009D49C6" w:rsidRPr="00575C69">
        <w:rPr>
          <w:rFonts w:ascii="Calibri" w:hAnsi="Calibri" w:cs="Calibri"/>
          <w:b/>
          <w:sz w:val="24"/>
          <w:szCs w:val="24"/>
        </w:rPr>
        <w:t>progress on service plan, loss of income or failure to improve income,</w:t>
      </w:r>
      <w:r w:rsidR="009D49C6" w:rsidRPr="00575C69">
        <w:rPr>
          <w:rFonts w:ascii="Calibri" w:hAnsi="Calibri" w:cs="Calibri"/>
          <w:b/>
          <w:iCs/>
          <w:sz w:val="24"/>
          <w:szCs w:val="24"/>
        </w:rPr>
        <w:t xml:space="preserve"> or</w:t>
      </w:r>
      <w:r w:rsidR="009D49C6" w:rsidRPr="00575C69">
        <w:rPr>
          <w:rFonts w:ascii="Calibri" w:hAnsi="Calibri" w:cs="Calibri"/>
          <w:b/>
          <w:iCs/>
          <w:sz w:val="24"/>
          <w:szCs w:val="24"/>
          <w:shd w:val="clear" w:color="auto" w:fill="FFFFFF"/>
        </w:rPr>
        <w:t xml:space="preserve"> any other activity not covered in a lease agreement typically</w:t>
      </w:r>
      <w:r w:rsidRPr="00575C69">
        <w:rPr>
          <w:rFonts w:ascii="Calibri" w:hAnsi="Calibri" w:cs="Calibri"/>
          <w:b/>
          <w:iCs/>
          <w:sz w:val="24"/>
          <w:szCs w:val="24"/>
          <w:shd w:val="clear" w:color="auto" w:fill="FFFFFF"/>
        </w:rPr>
        <w:t xml:space="preserve"> found for unassisted persons. </w:t>
      </w:r>
      <w:r w:rsidR="009D49C6" w:rsidRPr="00575C69">
        <w:rPr>
          <w:rFonts w:ascii="Calibri" w:hAnsi="Calibri" w:cs="Calibri"/>
          <w:b/>
          <w:bCs/>
          <w:sz w:val="24"/>
          <w:szCs w:val="24"/>
          <w:shd w:val="clear" w:color="auto" w:fill="FFFFFF"/>
        </w:rPr>
        <w:t xml:space="preserve">Some transitional living programs have curfews for residents, as it is a more </w:t>
      </w:r>
      <w:r w:rsidRPr="00575C69">
        <w:rPr>
          <w:rFonts w:ascii="Calibri" w:hAnsi="Calibri" w:cs="Calibri"/>
          <w:b/>
          <w:bCs/>
          <w:sz w:val="24"/>
          <w:szCs w:val="24"/>
          <w:shd w:val="clear" w:color="auto" w:fill="FFFFFF"/>
        </w:rPr>
        <w:t>supported living environment. </w:t>
      </w:r>
      <w:r w:rsidR="009D49C6" w:rsidRPr="00575C69">
        <w:rPr>
          <w:rFonts w:ascii="Calibri" w:hAnsi="Calibri" w:cs="Calibri"/>
          <w:b/>
          <w:bCs/>
          <w:sz w:val="24"/>
          <w:szCs w:val="24"/>
          <w:shd w:val="clear" w:color="auto" w:fill="FFFFFF"/>
        </w:rPr>
        <w:t>Would curfews be allowed for transitional housing? </w:t>
      </w:r>
    </w:p>
    <w:p w:rsidR="00DC5BE9" w:rsidRPr="00575C69" w:rsidRDefault="00575C69" w:rsidP="00575C69">
      <w:pPr>
        <w:ind w:left="288" w:hanging="288"/>
        <w:rPr>
          <w:sz w:val="24"/>
          <w:szCs w:val="24"/>
        </w:rPr>
      </w:pPr>
      <w:r>
        <w:rPr>
          <w:sz w:val="24"/>
          <w:szCs w:val="24"/>
        </w:rPr>
        <w:t xml:space="preserve">A: </w:t>
      </w:r>
      <w:r w:rsidR="00723FFC" w:rsidRPr="00575C69">
        <w:rPr>
          <w:sz w:val="24"/>
          <w:szCs w:val="24"/>
        </w:rPr>
        <w:t>Recipients of CoC Program funds have flexibility to design their projects to appropriately meet the needs of program participants. Recipients should specify rules that must be followed and actions that are prohibited within a project.  Any policies developed must be applied equally to all program participants. Implementing a housing first model does not mean that a project is not allowed to have rules or requirement</w:t>
      </w:r>
      <w:r>
        <w:rPr>
          <w:sz w:val="24"/>
          <w:szCs w:val="24"/>
        </w:rPr>
        <w:t>, such as a curfew</w:t>
      </w:r>
      <w:r w:rsidR="00723FFC" w:rsidRPr="00575C69">
        <w:rPr>
          <w:sz w:val="24"/>
          <w:szCs w:val="24"/>
        </w:rPr>
        <w:t xml:space="preserve">. It means, rather, that projects following a housing first model should work to ensure that </w:t>
      </w:r>
      <w:r>
        <w:rPr>
          <w:sz w:val="24"/>
          <w:szCs w:val="24"/>
        </w:rPr>
        <w:t>youth</w:t>
      </w:r>
      <w:r w:rsidR="00723FFC" w:rsidRPr="00575C69">
        <w:rPr>
          <w:sz w:val="24"/>
          <w:szCs w:val="24"/>
        </w:rPr>
        <w:t xml:space="preserve"> are allowed some flexibility and resource</w:t>
      </w:r>
      <w:r>
        <w:rPr>
          <w:sz w:val="24"/>
          <w:szCs w:val="24"/>
        </w:rPr>
        <w:t>s</w:t>
      </w:r>
      <w:r w:rsidR="00723FFC" w:rsidRPr="00575C69">
        <w:rPr>
          <w:sz w:val="24"/>
          <w:szCs w:val="24"/>
        </w:rPr>
        <w:t xml:space="preserve"> in relation to those rules and that termination from a project would occur only in the most severe of circumstances.  </w:t>
      </w:r>
    </w:p>
    <w:p w:rsidR="009D49C6" w:rsidRPr="009D49C6" w:rsidRDefault="009D49C6" w:rsidP="009D49C6">
      <w:pPr>
        <w:rPr>
          <w:sz w:val="24"/>
          <w:szCs w:val="24"/>
        </w:rPr>
      </w:pPr>
    </w:p>
    <w:p w:rsidR="005967B1" w:rsidRPr="00575C69" w:rsidRDefault="00575C69" w:rsidP="00575C69">
      <w:pPr>
        <w:ind w:left="288" w:hanging="288"/>
        <w:rPr>
          <w:b/>
          <w:sz w:val="24"/>
          <w:szCs w:val="24"/>
        </w:rPr>
      </w:pPr>
      <w:r w:rsidRPr="00575C69">
        <w:rPr>
          <w:b/>
          <w:sz w:val="24"/>
          <w:szCs w:val="24"/>
        </w:rPr>
        <w:t xml:space="preserve">Q: </w:t>
      </w:r>
      <w:r w:rsidR="009D49C6" w:rsidRPr="00575C69">
        <w:rPr>
          <w:b/>
          <w:sz w:val="24"/>
          <w:szCs w:val="24"/>
        </w:rPr>
        <w:t>On the threshold document, #10 asks if we have a code of conduct th</w:t>
      </w:r>
      <w:r w:rsidRPr="00575C69">
        <w:rPr>
          <w:b/>
          <w:sz w:val="24"/>
          <w:szCs w:val="24"/>
        </w:rPr>
        <w:t xml:space="preserve">at has been submitted to HUD. </w:t>
      </w:r>
      <w:r w:rsidR="009D49C6" w:rsidRPr="00575C69">
        <w:rPr>
          <w:b/>
          <w:sz w:val="24"/>
          <w:szCs w:val="24"/>
        </w:rPr>
        <w:t>As a not-currently-</w:t>
      </w:r>
      <w:r w:rsidRPr="00575C69">
        <w:rPr>
          <w:b/>
          <w:sz w:val="24"/>
          <w:szCs w:val="24"/>
        </w:rPr>
        <w:t>CoC</w:t>
      </w:r>
      <w:r w:rsidR="009D49C6" w:rsidRPr="00575C69">
        <w:rPr>
          <w:b/>
          <w:sz w:val="24"/>
          <w:szCs w:val="24"/>
        </w:rPr>
        <w:t>-funded partner, this wouldn't be something we would be able to answer yes on, but we need to answer yes on all threshold pieces and there is not room for an explanation here.  How should we provide the explanation on any threshold items we answer no to?</w:t>
      </w:r>
    </w:p>
    <w:p w:rsidR="00DC5BE9" w:rsidRPr="00575C69" w:rsidRDefault="00575C69" w:rsidP="00575C69">
      <w:pPr>
        <w:ind w:left="288" w:hanging="288"/>
        <w:rPr>
          <w:sz w:val="24"/>
          <w:szCs w:val="24"/>
        </w:rPr>
      </w:pPr>
      <w:r w:rsidRPr="00575C69">
        <w:rPr>
          <w:sz w:val="24"/>
          <w:szCs w:val="24"/>
        </w:rPr>
        <w:t xml:space="preserve">A: </w:t>
      </w:r>
      <w:r w:rsidR="009D49C6" w:rsidRPr="00575C69">
        <w:rPr>
          <w:sz w:val="24"/>
          <w:szCs w:val="24"/>
        </w:rPr>
        <w:t xml:space="preserve">The documents are all editable, so there is room to write down any explanations you may need to provide below the questions. Those who are currently not a CoC funded partner may need to provide clarifying answers to any ‘NO’ on the thresholds. </w:t>
      </w:r>
      <w:r w:rsidR="00DC5BE9" w:rsidRPr="00575C69">
        <w:rPr>
          <w:sz w:val="24"/>
          <w:szCs w:val="24"/>
        </w:rPr>
        <w:t xml:space="preserve">You will however have to submit your code of conduct to HUD with application approval. </w:t>
      </w:r>
    </w:p>
    <w:p w:rsidR="009D49C6" w:rsidRPr="009D49C6" w:rsidRDefault="009D49C6" w:rsidP="009D49C6">
      <w:pPr>
        <w:rPr>
          <w:i/>
          <w:sz w:val="24"/>
          <w:szCs w:val="24"/>
        </w:rPr>
      </w:pPr>
    </w:p>
    <w:p w:rsidR="009D49C6" w:rsidRPr="00575C69" w:rsidRDefault="00575C69" w:rsidP="00575C69">
      <w:pPr>
        <w:ind w:left="288" w:hanging="288"/>
        <w:rPr>
          <w:b/>
          <w:sz w:val="24"/>
          <w:szCs w:val="24"/>
        </w:rPr>
      </w:pPr>
      <w:r w:rsidRPr="00575C69">
        <w:rPr>
          <w:b/>
          <w:sz w:val="24"/>
          <w:szCs w:val="24"/>
        </w:rPr>
        <w:t xml:space="preserve">Q: </w:t>
      </w:r>
      <w:r w:rsidR="009D49C6" w:rsidRPr="00575C69">
        <w:rPr>
          <w:b/>
          <w:sz w:val="24"/>
          <w:szCs w:val="24"/>
        </w:rPr>
        <w:t>Can you clarify that “leasing” is not rental assistance but leasing spaces for support services to be conducted in?</w:t>
      </w:r>
    </w:p>
    <w:p w:rsidR="00386702" w:rsidRDefault="00575C69" w:rsidP="00575C69">
      <w:pPr>
        <w:ind w:left="288" w:hanging="288"/>
        <w:rPr>
          <w:sz w:val="24"/>
          <w:szCs w:val="24"/>
        </w:rPr>
      </w:pPr>
      <w:r>
        <w:rPr>
          <w:sz w:val="24"/>
          <w:szCs w:val="24"/>
        </w:rPr>
        <w:t xml:space="preserve">A: </w:t>
      </w:r>
      <w:r w:rsidR="00DC5BE9" w:rsidRPr="00575C69">
        <w:rPr>
          <w:sz w:val="24"/>
          <w:szCs w:val="24"/>
        </w:rPr>
        <w:t xml:space="preserve">Leasing </w:t>
      </w:r>
      <w:r>
        <w:rPr>
          <w:sz w:val="24"/>
          <w:szCs w:val="24"/>
        </w:rPr>
        <w:t>and rental assistance are two separate budget line items available for YHDP-funded projects. Each operates in distinct ways. Funding for leasing and rental assistance can both be used to rent housing units. Leasing can also be used to lease up entire structures for YHDP. However, when providing supportive services in a building that is not also being used for housing, a recipient or subrecipient would charge this office space to the supportive services line item. Supportive services would also cover the day-to-day costs of operating the building as well, including such things as maintenance and utilities. For more information on these budget line it</w:t>
      </w:r>
      <w:bookmarkStart w:id="0" w:name="_GoBack"/>
      <w:bookmarkEnd w:id="0"/>
      <w:r>
        <w:rPr>
          <w:sz w:val="24"/>
          <w:szCs w:val="24"/>
        </w:rPr>
        <w:t>ems, please review the CoC Program interim rule at Section 578.49 (Leasing), 578.51 (</w:t>
      </w:r>
      <w:r w:rsidR="0073770F">
        <w:rPr>
          <w:sz w:val="24"/>
          <w:szCs w:val="24"/>
        </w:rPr>
        <w:t xml:space="preserve">Rental Assistance), and 578.53 (Supportive Services). </w:t>
      </w:r>
    </w:p>
    <w:p w:rsidR="00AF7FFC" w:rsidRDefault="00AF7FFC" w:rsidP="00575C69">
      <w:pPr>
        <w:ind w:left="288" w:hanging="288"/>
        <w:rPr>
          <w:sz w:val="24"/>
          <w:szCs w:val="24"/>
        </w:rPr>
      </w:pPr>
    </w:p>
    <w:p w:rsidR="00AF7FFC" w:rsidRPr="00C2744D" w:rsidRDefault="00AF7FFC" w:rsidP="00575C69">
      <w:pPr>
        <w:ind w:left="288" w:hanging="288"/>
        <w:rPr>
          <w:b/>
          <w:sz w:val="24"/>
          <w:szCs w:val="24"/>
        </w:rPr>
      </w:pPr>
      <w:r w:rsidRPr="00C2744D">
        <w:rPr>
          <w:b/>
          <w:sz w:val="24"/>
          <w:szCs w:val="24"/>
        </w:rPr>
        <w:t>Q: In the application, there is a question about the level of youth collaboration that went into the design of the project. My organization does not currently have a lot of opportunities for young people to collaborate in that way. How should I answer this question?</w:t>
      </w:r>
    </w:p>
    <w:p w:rsidR="00AF7FFC" w:rsidRPr="00575C69" w:rsidRDefault="00AF7FFC" w:rsidP="00575C69">
      <w:pPr>
        <w:ind w:left="288" w:hanging="288"/>
        <w:rPr>
          <w:sz w:val="24"/>
          <w:szCs w:val="24"/>
        </w:rPr>
      </w:pPr>
      <w:r>
        <w:rPr>
          <w:sz w:val="24"/>
          <w:szCs w:val="24"/>
        </w:rPr>
        <w:t xml:space="preserve">A: The selection committee </w:t>
      </w:r>
      <w:r w:rsidR="00C2744D">
        <w:rPr>
          <w:sz w:val="24"/>
          <w:szCs w:val="24"/>
        </w:rPr>
        <w:t xml:space="preserve">realizes that organizations responding to this RFP may be at different places in respect to their ability to engage with young people about project design. With that in mind, project applicants are encouraged to think outside the box in ways they might engage with youth who may either be currently or formerly enrolled in their programs. For instance, an organization could conduct a mini focus group on an aspect of the project design that is being considered. Finally, the project applicant should detail how they plan on increasing their level of youth collaboration in all aspects of organizational operations. </w:t>
      </w:r>
    </w:p>
    <w:p w:rsidR="008644C1" w:rsidRDefault="00DC02FF" w:rsidP="00DC02FF">
      <w:pPr>
        <w:rPr>
          <w:sz w:val="24"/>
          <w:szCs w:val="24"/>
        </w:rPr>
      </w:pPr>
      <w:r>
        <w:rPr>
          <w:sz w:val="24"/>
          <w:szCs w:val="24"/>
        </w:rPr>
        <w:t>-------------------------------------------------------------------------------------------------------------------------------</w:t>
      </w:r>
    </w:p>
    <w:p w:rsidR="00DC02FF" w:rsidRPr="00DC02FF" w:rsidRDefault="00DC02FF" w:rsidP="00DC02FF">
      <w:pPr>
        <w:spacing w:line="256" w:lineRule="auto"/>
        <w:rPr>
          <w:b/>
          <w:sz w:val="24"/>
          <w:szCs w:val="24"/>
        </w:rPr>
      </w:pPr>
      <w:r w:rsidRPr="00DC02FF">
        <w:rPr>
          <w:b/>
          <w:sz w:val="24"/>
          <w:szCs w:val="24"/>
        </w:rPr>
        <w:t>Questions to be answered at a later time:</w:t>
      </w:r>
    </w:p>
    <w:p w:rsidR="00DC02FF" w:rsidRPr="00DC02FF" w:rsidRDefault="00DC02FF" w:rsidP="00DC02FF">
      <w:pPr>
        <w:spacing w:line="256" w:lineRule="auto"/>
        <w:rPr>
          <w:sz w:val="24"/>
          <w:szCs w:val="24"/>
        </w:rPr>
      </w:pPr>
      <w:r>
        <w:rPr>
          <w:sz w:val="24"/>
          <w:szCs w:val="24"/>
        </w:rPr>
        <w:t xml:space="preserve">Q: </w:t>
      </w:r>
      <w:r w:rsidRPr="00DC02FF">
        <w:rPr>
          <w:sz w:val="24"/>
          <w:szCs w:val="24"/>
        </w:rPr>
        <w:t>Can you use your indirect cost rate if you have an indirect cost rate agreement with HUD?</w:t>
      </w:r>
    </w:p>
    <w:p w:rsidR="00DC02FF" w:rsidRPr="00DC02FF" w:rsidRDefault="00DC02FF" w:rsidP="00DC02FF">
      <w:pPr>
        <w:rPr>
          <w:sz w:val="24"/>
          <w:szCs w:val="24"/>
        </w:rPr>
      </w:pPr>
    </w:p>
    <w:sectPr w:rsidR="00DC02FF" w:rsidRPr="00DC02F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2F63" w:rsidRDefault="00522F63" w:rsidP="009D49C6">
      <w:pPr>
        <w:spacing w:after="0" w:line="240" w:lineRule="auto"/>
      </w:pPr>
      <w:r>
        <w:separator/>
      </w:r>
    </w:p>
  </w:endnote>
  <w:endnote w:type="continuationSeparator" w:id="0">
    <w:p w:rsidR="00522F63" w:rsidRDefault="00522F63" w:rsidP="009D4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2F63" w:rsidRDefault="00522F63" w:rsidP="009D49C6">
      <w:pPr>
        <w:spacing w:after="0" w:line="240" w:lineRule="auto"/>
      </w:pPr>
      <w:r>
        <w:separator/>
      </w:r>
    </w:p>
  </w:footnote>
  <w:footnote w:type="continuationSeparator" w:id="0">
    <w:p w:rsidR="00522F63" w:rsidRDefault="00522F63" w:rsidP="009D49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9C6" w:rsidRDefault="009D49C6" w:rsidP="009D49C6">
    <w:pPr>
      <w:pStyle w:val="Header"/>
    </w:pPr>
    <w:r>
      <w:rPr>
        <w:noProof/>
      </w:rPr>
      <w:drawing>
        <wp:inline distT="0" distB="0" distL="0" distR="0" wp14:anchorId="6F7C56B0" wp14:editId="10168604">
          <wp:extent cx="1438910" cy="86550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865505"/>
                  </a:xfrm>
                  <a:prstGeom prst="rect">
                    <a:avLst/>
                  </a:prstGeom>
                  <a:noFill/>
                </pic:spPr>
              </pic:pic>
            </a:graphicData>
          </a:graphic>
        </wp:inline>
      </w:drawing>
    </w:r>
    <w:r w:rsidRPr="00AB3CB6">
      <w:rPr>
        <w:b/>
        <w:sz w:val="28"/>
        <w:szCs w:val="28"/>
      </w:rPr>
      <w:t>Vermont Youth Homeless Demonstration Program (YHDP)</w:t>
    </w:r>
  </w:p>
  <w:p w:rsidR="009D49C6" w:rsidRDefault="009D49C6">
    <w:pPr>
      <w:pStyle w:val="Header"/>
    </w:pPr>
    <w:r>
      <w:ptab w:relativeTo="margin" w:alignment="center" w:leader="none"/>
    </w: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A2506"/>
    <w:multiLevelType w:val="hybridMultilevel"/>
    <w:tmpl w:val="29C26C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1B8"/>
    <w:rsid w:val="00092BC4"/>
    <w:rsid w:val="001661B8"/>
    <w:rsid w:val="002934D2"/>
    <w:rsid w:val="00386702"/>
    <w:rsid w:val="003B1DD1"/>
    <w:rsid w:val="00522F63"/>
    <w:rsid w:val="00575C69"/>
    <w:rsid w:val="005967B1"/>
    <w:rsid w:val="00702605"/>
    <w:rsid w:val="00723FFC"/>
    <w:rsid w:val="0073770F"/>
    <w:rsid w:val="007637A9"/>
    <w:rsid w:val="008644C1"/>
    <w:rsid w:val="009D49C6"/>
    <w:rsid w:val="00A85FC2"/>
    <w:rsid w:val="00AF7FFC"/>
    <w:rsid w:val="00B91D0E"/>
    <w:rsid w:val="00C2744D"/>
    <w:rsid w:val="00DC02FF"/>
    <w:rsid w:val="00DC5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3CBF13-0BB3-4B76-88D5-BF1C9970C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49C6"/>
    <w:pPr>
      <w:ind w:left="720"/>
      <w:contextualSpacing/>
    </w:pPr>
  </w:style>
  <w:style w:type="paragraph" w:styleId="Header">
    <w:name w:val="header"/>
    <w:basedOn w:val="Normal"/>
    <w:link w:val="HeaderChar"/>
    <w:uiPriority w:val="99"/>
    <w:unhideWhenUsed/>
    <w:rsid w:val="009D49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49C6"/>
  </w:style>
  <w:style w:type="paragraph" w:styleId="Footer">
    <w:name w:val="footer"/>
    <w:basedOn w:val="Normal"/>
    <w:link w:val="FooterChar"/>
    <w:uiPriority w:val="99"/>
    <w:unhideWhenUsed/>
    <w:rsid w:val="009D49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49C6"/>
  </w:style>
  <w:style w:type="character" w:styleId="Hyperlink">
    <w:name w:val="Hyperlink"/>
    <w:basedOn w:val="DefaultParagraphFont"/>
    <w:uiPriority w:val="99"/>
    <w:semiHidden/>
    <w:unhideWhenUsed/>
    <w:rsid w:val="008644C1"/>
    <w:rPr>
      <w:color w:val="66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139567">
      <w:bodyDiv w:val="1"/>
      <w:marLeft w:val="0"/>
      <w:marRight w:val="0"/>
      <w:marTop w:val="0"/>
      <w:marBottom w:val="0"/>
      <w:divBdr>
        <w:top w:val="none" w:sz="0" w:space="0" w:color="auto"/>
        <w:left w:val="none" w:sz="0" w:space="0" w:color="auto"/>
        <w:bottom w:val="none" w:sz="0" w:space="0" w:color="auto"/>
        <w:right w:val="none" w:sz="0" w:space="0" w:color="auto"/>
      </w:divBdr>
    </w:div>
    <w:div w:id="738358695">
      <w:bodyDiv w:val="1"/>
      <w:marLeft w:val="0"/>
      <w:marRight w:val="0"/>
      <w:marTop w:val="0"/>
      <w:marBottom w:val="0"/>
      <w:divBdr>
        <w:top w:val="none" w:sz="0" w:space="0" w:color="auto"/>
        <w:left w:val="none" w:sz="0" w:space="0" w:color="auto"/>
        <w:bottom w:val="none" w:sz="0" w:space="0" w:color="auto"/>
        <w:right w:val="none" w:sz="0" w:space="0" w:color="auto"/>
      </w:divBdr>
      <w:divsChild>
        <w:div w:id="2062440955">
          <w:marLeft w:val="0"/>
          <w:marRight w:val="0"/>
          <w:marTop w:val="0"/>
          <w:marBottom w:val="30"/>
          <w:divBdr>
            <w:top w:val="none" w:sz="0" w:space="0" w:color="auto"/>
            <w:left w:val="none" w:sz="0" w:space="0" w:color="auto"/>
            <w:bottom w:val="none" w:sz="0" w:space="0" w:color="auto"/>
            <w:right w:val="none" w:sz="0" w:space="0" w:color="auto"/>
          </w:divBdr>
          <w:divsChild>
            <w:div w:id="1623266031">
              <w:marLeft w:val="-225"/>
              <w:marRight w:val="-225"/>
              <w:marTop w:val="0"/>
              <w:marBottom w:val="0"/>
              <w:divBdr>
                <w:top w:val="none" w:sz="0" w:space="0" w:color="auto"/>
                <w:left w:val="none" w:sz="0" w:space="0" w:color="auto"/>
                <w:bottom w:val="none" w:sz="0" w:space="0" w:color="auto"/>
                <w:right w:val="none" w:sz="0" w:space="0" w:color="auto"/>
              </w:divBdr>
              <w:divsChild>
                <w:div w:id="1416439298">
                  <w:marLeft w:val="0"/>
                  <w:marRight w:val="0"/>
                  <w:marTop w:val="0"/>
                  <w:marBottom w:val="0"/>
                  <w:divBdr>
                    <w:top w:val="none" w:sz="0" w:space="0" w:color="auto"/>
                    <w:left w:val="none" w:sz="0" w:space="0" w:color="auto"/>
                    <w:bottom w:val="none" w:sz="0" w:space="0" w:color="auto"/>
                    <w:right w:val="none" w:sz="0" w:space="0" w:color="auto"/>
                  </w:divBdr>
                </w:div>
                <w:div w:id="91647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118333">
          <w:marLeft w:val="0"/>
          <w:marRight w:val="0"/>
          <w:marTop w:val="0"/>
          <w:marBottom w:val="30"/>
          <w:divBdr>
            <w:top w:val="none" w:sz="0" w:space="0" w:color="auto"/>
            <w:left w:val="none" w:sz="0" w:space="0" w:color="auto"/>
            <w:bottom w:val="none" w:sz="0" w:space="0" w:color="auto"/>
            <w:right w:val="none" w:sz="0" w:space="0" w:color="auto"/>
          </w:divBdr>
          <w:divsChild>
            <w:div w:id="591399131">
              <w:marLeft w:val="-225"/>
              <w:marRight w:val="-225"/>
              <w:marTop w:val="0"/>
              <w:marBottom w:val="0"/>
              <w:divBdr>
                <w:top w:val="none" w:sz="0" w:space="0" w:color="auto"/>
                <w:left w:val="none" w:sz="0" w:space="0" w:color="auto"/>
                <w:bottom w:val="none" w:sz="0" w:space="0" w:color="auto"/>
                <w:right w:val="none" w:sz="0" w:space="0" w:color="auto"/>
              </w:divBdr>
              <w:divsChild>
                <w:div w:id="501556057">
                  <w:marLeft w:val="0"/>
                  <w:marRight w:val="0"/>
                  <w:marTop w:val="0"/>
                  <w:marBottom w:val="0"/>
                  <w:divBdr>
                    <w:top w:val="none" w:sz="0" w:space="0" w:color="auto"/>
                    <w:left w:val="none" w:sz="0" w:space="0" w:color="auto"/>
                    <w:bottom w:val="none" w:sz="0" w:space="0" w:color="auto"/>
                    <w:right w:val="none" w:sz="0" w:space="0" w:color="auto"/>
                  </w:divBdr>
                </w:div>
                <w:div w:id="78592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200033">
      <w:bodyDiv w:val="1"/>
      <w:marLeft w:val="0"/>
      <w:marRight w:val="0"/>
      <w:marTop w:val="0"/>
      <w:marBottom w:val="0"/>
      <w:divBdr>
        <w:top w:val="none" w:sz="0" w:space="0" w:color="auto"/>
        <w:left w:val="none" w:sz="0" w:space="0" w:color="auto"/>
        <w:bottom w:val="none" w:sz="0" w:space="0" w:color="auto"/>
        <w:right w:val="none" w:sz="0" w:space="0" w:color="auto"/>
      </w:divBdr>
    </w:div>
    <w:div w:id="1597132121">
      <w:bodyDiv w:val="1"/>
      <w:marLeft w:val="0"/>
      <w:marRight w:val="0"/>
      <w:marTop w:val="0"/>
      <w:marBottom w:val="0"/>
      <w:divBdr>
        <w:top w:val="none" w:sz="0" w:space="0" w:color="auto"/>
        <w:left w:val="none" w:sz="0" w:space="0" w:color="auto"/>
        <w:bottom w:val="none" w:sz="0" w:space="0" w:color="auto"/>
        <w:right w:val="none" w:sz="0" w:space="0" w:color="auto"/>
      </w:divBdr>
    </w:div>
    <w:div w:id="1604649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153AB-ADA0-4068-9AE2-628F65542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680</Words>
  <Characters>3878</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Technical Assistance Collaborative, Inc.</Company>
  <LinksUpToDate>false</LinksUpToDate>
  <CharactersWithSpaces>4549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Fitzpatrick</dc:creator>
  <cp:keywords/>
  <dc:description/>
  <cp:lastModifiedBy>Andrea Hurley</cp:lastModifiedBy>
  <cp:revision>2</cp:revision>
  <dcterms:created xsi:type="dcterms:W3CDTF">2019-04-02T15:32:00Z</dcterms:created>
  <dcterms:modified xsi:type="dcterms:W3CDTF">2019-04-02T15:32:00Z</dcterms:modified>
</cp:coreProperties>
</file>