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BE78" w14:textId="2A0F177F" w:rsidR="00A25054" w:rsidRDefault="009907F1" w:rsidP="00501DFE">
      <w:pPr>
        <w:pStyle w:val="Heading1"/>
        <w:jc w:val="center"/>
      </w:pPr>
      <w:r>
        <w:t>[</w:t>
      </w:r>
      <w:r w:rsidRPr="00AD7B0D">
        <w:rPr>
          <w:highlight w:val="yellow"/>
        </w:rPr>
        <w:t>Agency</w:t>
      </w:r>
      <w:r>
        <w:t>]</w:t>
      </w:r>
      <w:r w:rsidR="00A25054" w:rsidRPr="00A25054">
        <w:t xml:space="preserve"> </w:t>
      </w:r>
      <w:r w:rsidR="00CB749D">
        <w:t xml:space="preserve">LGBTQIA2S+ </w:t>
      </w:r>
      <w:r>
        <w:t xml:space="preserve">Anti-Discrimination Policy </w:t>
      </w:r>
      <w:r w:rsidR="00A25054" w:rsidRPr="00A25054">
        <w:t xml:space="preserve">and </w:t>
      </w:r>
      <w:r>
        <w:t>Guidance</w:t>
      </w:r>
    </w:p>
    <w:p w14:paraId="7AB4D241" w14:textId="77777777" w:rsidR="00A25054" w:rsidRDefault="00A25054"/>
    <w:p w14:paraId="23B97C76" w14:textId="472ABD1F" w:rsidR="00A25054" w:rsidRDefault="00A25054" w:rsidP="00501DFE">
      <w:pPr>
        <w:pStyle w:val="Heading2"/>
      </w:pPr>
      <w:r>
        <w:t>Policy Statement</w:t>
      </w:r>
    </w:p>
    <w:p w14:paraId="4CD6F039" w14:textId="77777777" w:rsidR="001229A5" w:rsidRDefault="00737F3F" w:rsidP="00C53C19">
      <w:pPr>
        <w:spacing w:line="276" w:lineRule="auto"/>
        <w:rPr>
          <w:rFonts w:cstheme="minorHAnsi"/>
        </w:rPr>
      </w:pPr>
      <w:r>
        <w:t>[</w:t>
      </w:r>
      <w:r w:rsidR="001229A5">
        <w:rPr>
          <w:highlight w:val="yellow"/>
        </w:rPr>
        <w:t>A</w:t>
      </w:r>
      <w:r w:rsidR="00A25054" w:rsidRPr="00737F3F">
        <w:rPr>
          <w:highlight w:val="yellow"/>
        </w:rPr>
        <w:t>gency</w:t>
      </w:r>
      <w:r>
        <w:t>]</w:t>
      </w:r>
      <w:r w:rsidR="00A25054" w:rsidRPr="00A25054">
        <w:t>, in accord with federal, state, and local laws, prohibit</w:t>
      </w:r>
      <w:r w:rsidR="001229A5">
        <w:t>s</w:t>
      </w:r>
      <w:r w:rsidR="00A25054" w:rsidRPr="00A25054">
        <w:t xml:space="preserve"> all forms of harassment and discrimination of or by clients, employees, visitors, </w:t>
      </w:r>
      <w:r w:rsidR="001229A5">
        <w:t xml:space="preserve">contractors, </w:t>
      </w:r>
      <w:r w:rsidR="00A25054" w:rsidRPr="00A25054">
        <w:t xml:space="preserve">and volunteers, including harassment and discrimination based on actual or perceived gender identity and expression, or based on an individual’s association with a person or group with one or more of these actual or perceived characteristics. </w:t>
      </w:r>
      <w:r w:rsidR="00C53C19" w:rsidRPr="00641546">
        <w:rPr>
          <w:rFonts w:cstheme="minorHAnsi"/>
        </w:rPr>
        <w:t xml:space="preserve">Connecticut law </w:t>
      </w:r>
      <w:hyperlink r:id="rId8" w:history="1">
        <w:r w:rsidR="00C53C19" w:rsidRPr="00641546">
          <w:rPr>
            <w:rStyle w:val="Hyperlink"/>
            <w:rFonts w:cstheme="minorHAnsi"/>
          </w:rPr>
          <w:t>prohibits discrimination</w:t>
        </w:r>
      </w:hyperlink>
      <w:r w:rsidR="00C53C19" w:rsidRPr="00641546">
        <w:rPr>
          <w:rFonts w:cstheme="minorHAnsi"/>
        </w:rPr>
        <w:t xml:space="preserve"> in employment, housing, public accommodations</w:t>
      </w:r>
      <w:r w:rsidR="00C53C19">
        <w:rPr>
          <w:rFonts w:cstheme="minorHAnsi"/>
        </w:rPr>
        <w:t>,</w:t>
      </w:r>
      <w:r w:rsidR="00C53C19" w:rsidRPr="00641546">
        <w:rPr>
          <w:rFonts w:cstheme="minorHAnsi"/>
        </w:rPr>
        <w:t xml:space="preserve"> and credit transactions on the basis of </w:t>
      </w:r>
      <w:r w:rsidR="00C53C19">
        <w:rPr>
          <w:rFonts w:cstheme="minorHAnsi"/>
        </w:rPr>
        <w:t xml:space="preserve">a number of protected classes. </w:t>
      </w:r>
    </w:p>
    <w:p w14:paraId="31897DDA" w14:textId="77777777" w:rsidR="001229A5" w:rsidRDefault="001229A5" w:rsidP="00C53C19">
      <w:pPr>
        <w:spacing w:line="276" w:lineRule="auto"/>
        <w:rPr>
          <w:rFonts w:cstheme="minorHAnsi"/>
        </w:rPr>
      </w:pPr>
    </w:p>
    <w:p w14:paraId="4DA624A7" w14:textId="6CCA8CD3" w:rsidR="00A25054" w:rsidRDefault="00C53C19" w:rsidP="00C53C19">
      <w:pPr>
        <w:spacing w:line="276" w:lineRule="auto"/>
      </w:pPr>
      <w:r>
        <w:rPr>
          <w:rFonts w:cstheme="minorHAnsi"/>
        </w:rPr>
        <w:t xml:space="preserve">Connecticut includes </w:t>
      </w:r>
      <w:proofErr w:type="gramStart"/>
      <w:r>
        <w:rPr>
          <w:rFonts w:cstheme="minorHAnsi"/>
        </w:rPr>
        <w:t>all of</w:t>
      </w:r>
      <w:proofErr w:type="gramEnd"/>
      <w:r>
        <w:rPr>
          <w:rFonts w:cstheme="minorHAnsi"/>
        </w:rPr>
        <w:t xml:space="preserve"> the following within its protected classes (as well as other classes): </w:t>
      </w:r>
      <w:r w:rsidRPr="00641546">
        <w:rPr>
          <w:rFonts w:cstheme="minorHAnsi"/>
        </w:rPr>
        <w:t>sex, transgender status, gender identity, gender expression, sexual orientation</w:t>
      </w:r>
      <w:r>
        <w:rPr>
          <w:rFonts w:cstheme="minorHAnsi"/>
        </w:rPr>
        <w:t>, marital status,</w:t>
      </w:r>
      <w:r w:rsidRPr="00641546">
        <w:rPr>
          <w:rFonts w:cstheme="minorHAnsi"/>
        </w:rPr>
        <w:t xml:space="preserve"> </w:t>
      </w:r>
      <w:r>
        <w:rPr>
          <w:rFonts w:cstheme="minorHAnsi"/>
        </w:rPr>
        <w:t>or</w:t>
      </w:r>
      <w:r w:rsidRPr="00641546">
        <w:rPr>
          <w:rFonts w:cstheme="minorHAnsi"/>
        </w:rPr>
        <w:t xml:space="preserve"> civil union status. </w:t>
      </w:r>
      <w:r w:rsidR="00A25054" w:rsidRPr="00A25054">
        <w:t xml:space="preserve">Retaliation against an individual who files a complaint of harassment or discrimination against </w:t>
      </w:r>
      <w:r w:rsidR="00737F3F">
        <w:t>[</w:t>
      </w:r>
      <w:r w:rsidR="00737F3F" w:rsidRPr="00737F3F">
        <w:rPr>
          <w:highlight w:val="yellow"/>
        </w:rPr>
        <w:t>agency</w:t>
      </w:r>
      <w:r w:rsidR="00737F3F">
        <w:t xml:space="preserve">] </w:t>
      </w:r>
      <w:r w:rsidR="00A25054" w:rsidRPr="00A25054">
        <w:t xml:space="preserve">employees, visitors, volunteers, </w:t>
      </w:r>
      <w:r w:rsidR="00737F3F">
        <w:t xml:space="preserve">contractors, </w:t>
      </w:r>
      <w:r w:rsidR="00A25054" w:rsidRPr="00A25054">
        <w:t xml:space="preserve">or other clients, or who participates in an investigation of such a complaint, is strictly prohibited. </w:t>
      </w:r>
      <w:r w:rsidR="00737F3F">
        <w:t>[</w:t>
      </w:r>
      <w:r w:rsidR="00737F3F">
        <w:rPr>
          <w:highlight w:val="yellow"/>
        </w:rPr>
        <w:t>A</w:t>
      </w:r>
      <w:r w:rsidR="00737F3F" w:rsidRPr="00737F3F">
        <w:rPr>
          <w:highlight w:val="yellow"/>
        </w:rPr>
        <w:t>gency</w:t>
      </w:r>
      <w:r w:rsidR="00737F3F">
        <w:t>]</w:t>
      </w:r>
      <w:r w:rsidR="00A25054" w:rsidRPr="00A25054">
        <w:t xml:space="preserve">shall ensure that all clients, employees, visitors, </w:t>
      </w:r>
      <w:r w:rsidR="00737F3F">
        <w:t xml:space="preserve">contractors, </w:t>
      </w:r>
      <w:r w:rsidR="00A25054" w:rsidRPr="00A25054">
        <w:t>and volunteers receive notice of this policy.</w:t>
      </w:r>
      <w:r>
        <w:t xml:space="preserve"> </w:t>
      </w:r>
    </w:p>
    <w:p w14:paraId="3FC14272" w14:textId="741EE4FB" w:rsidR="00A25054" w:rsidRDefault="00A25054" w:rsidP="00C53C19">
      <w:pPr>
        <w:spacing w:line="276" w:lineRule="auto"/>
      </w:pPr>
    </w:p>
    <w:p w14:paraId="3A23AE29" w14:textId="10550738" w:rsidR="00A25054" w:rsidRDefault="00A25054" w:rsidP="00C53C19">
      <w:pPr>
        <w:pStyle w:val="Heading3"/>
        <w:spacing w:line="276" w:lineRule="auto"/>
      </w:pPr>
      <w:r w:rsidRPr="00A25054">
        <w:t>Establishing Gender Identity of Client</w:t>
      </w:r>
    </w:p>
    <w:p w14:paraId="1DDF8C68" w14:textId="77777777" w:rsidR="0015461C" w:rsidRPr="0015461C" w:rsidRDefault="0015461C" w:rsidP="0015461C">
      <w:pPr>
        <w:spacing w:line="276" w:lineRule="auto"/>
      </w:pPr>
      <w:r w:rsidRPr="0015461C">
        <w:rPr>
          <w:rFonts w:eastAsiaTheme="minorEastAsia"/>
        </w:rPr>
        <w:t xml:space="preserve">Clients shall NOT be turned away, referred elsewhere, or served offsite because: </w:t>
      </w:r>
    </w:p>
    <w:p w14:paraId="241A354B" w14:textId="77777777" w:rsidR="0015461C" w:rsidRPr="0015461C" w:rsidRDefault="0015461C" w:rsidP="0015461C">
      <w:pPr>
        <w:numPr>
          <w:ilvl w:val="0"/>
          <w:numId w:val="15"/>
        </w:numPr>
        <w:spacing w:line="276" w:lineRule="auto"/>
      </w:pPr>
      <w:r w:rsidRPr="0015461C">
        <w:rPr>
          <w:rFonts w:eastAsiaTheme="minorEastAsia"/>
        </w:rPr>
        <w:t xml:space="preserve">They are transgender, gender expansive, or otherwise LGBTQIA2S+ </w:t>
      </w:r>
      <w:proofErr w:type="gramStart"/>
      <w:r w:rsidRPr="0015461C">
        <w:rPr>
          <w:rFonts w:eastAsiaTheme="minorEastAsia"/>
        </w:rPr>
        <w:t>identifying</w:t>
      </w:r>
      <w:proofErr w:type="gramEnd"/>
    </w:p>
    <w:p w14:paraId="1C7B4AFA" w14:textId="77777777" w:rsidR="0015461C" w:rsidRPr="0015461C" w:rsidRDefault="0015461C" w:rsidP="0015461C">
      <w:pPr>
        <w:numPr>
          <w:ilvl w:val="0"/>
          <w:numId w:val="15"/>
        </w:numPr>
        <w:spacing w:line="276" w:lineRule="auto"/>
      </w:pPr>
      <w:r w:rsidRPr="0015461C">
        <w:rPr>
          <w:rFonts w:eastAsiaTheme="minorEastAsia"/>
        </w:rPr>
        <w:t xml:space="preserve">Staff deems the person’s length or extent of their gender transition </w:t>
      </w:r>
      <w:proofErr w:type="gramStart"/>
      <w:r w:rsidRPr="0015461C">
        <w:rPr>
          <w:rFonts w:eastAsiaTheme="minorEastAsia"/>
        </w:rPr>
        <w:t>insufficient</w:t>
      </w:r>
      <w:proofErr w:type="gramEnd"/>
      <w:r w:rsidRPr="0015461C">
        <w:rPr>
          <w:rFonts w:eastAsiaTheme="minorEastAsia"/>
        </w:rPr>
        <w:t xml:space="preserve"> </w:t>
      </w:r>
    </w:p>
    <w:p w14:paraId="40F80C4C" w14:textId="77777777" w:rsidR="0015461C" w:rsidRPr="0015461C" w:rsidRDefault="0015461C" w:rsidP="0015461C">
      <w:pPr>
        <w:numPr>
          <w:ilvl w:val="0"/>
          <w:numId w:val="15"/>
        </w:numPr>
        <w:spacing w:line="276" w:lineRule="auto"/>
      </w:pPr>
      <w:r w:rsidRPr="0015461C">
        <w:rPr>
          <w:rFonts w:eastAsiaTheme="minorEastAsia"/>
        </w:rPr>
        <w:t xml:space="preserve">They have not received gender affirming medical treatment (hormone blockers, hormones, surgeries, and other medical remedies) or </w:t>
      </w:r>
    </w:p>
    <w:p w14:paraId="06FC9149" w14:textId="77777777" w:rsidR="0015461C" w:rsidRPr="0015461C" w:rsidRDefault="0015461C" w:rsidP="0015461C">
      <w:pPr>
        <w:numPr>
          <w:ilvl w:val="0"/>
          <w:numId w:val="15"/>
        </w:numPr>
        <w:spacing w:line="276" w:lineRule="auto"/>
      </w:pPr>
      <w:r w:rsidRPr="0015461C">
        <w:rPr>
          <w:rFonts w:eastAsiaTheme="minorEastAsia"/>
        </w:rPr>
        <w:t xml:space="preserve">Their appearance or behavior does not meet the staff’s expectations of what a man or woman is supposed to look/act like. </w:t>
      </w:r>
    </w:p>
    <w:p w14:paraId="225E508C" w14:textId="77777777" w:rsidR="0015461C" w:rsidRPr="0015461C" w:rsidRDefault="0015461C" w:rsidP="0015461C">
      <w:pPr>
        <w:spacing w:line="276" w:lineRule="auto"/>
      </w:pPr>
      <w:r w:rsidRPr="0015461C">
        <w:rPr>
          <w:rFonts w:eastAsiaTheme="minorEastAsia"/>
        </w:rPr>
        <w:t xml:space="preserve">Staff, volunteers, and contractors SHALL: </w:t>
      </w:r>
    </w:p>
    <w:p w14:paraId="1744D916" w14:textId="77777777" w:rsidR="0015461C" w:rsidRPr="0015461C" w:rsidRDefault="0015461C" w:rsidP="0015461C">
      <w:pPr>
        <w:numPr>
          <w:ilvl w:val="0"/>
          <w:numId w:val="16"/>
        </w:numPr>
        <w:spacing w:line="276" w:lineRule="auto"/>
      </w:pPr>
      <w:r w:rsidRPr="0015461C">
        <w:rPr>
          <w:rFonts w:eastAsiaTheme="minorEastAsia"/>
        </w:rPr>
        <w:t xml:space="preserve">Rely on self-reported gender and informed consent to record gender in </w:t>
      </w:r>
      <w:proofErr w:type="gramStart"/>
      <w:r w:rsidRPr="0015461C">
        <w:rPr>
          <w:rFonts w:eastAsiaTheme="minorEastAsia"/>
        </w:rPr>
        <w:t>HMIS</w:t>
      </w:r>
      <w:proofErr w:type="gramEnd"/>
      <w:r w:rsidRPr="0015461C">
        <w:rPr>
          <w:rFonts w:eastAsiaTheme="minorEastAsia"/>
        </w:rPr>
        <w:t xml:space="preserve">  </w:t>
      </w:r>
    </w:p>
    <w:p w14:paraId="4748ECBF" w14:textId="77777777" w:rsidR="0015461C" w:rsidRPr="0015461C" w:rsidRDefault="0015461C" w:rsidP="0015461C">
      <w:pPr>
        <w:numPr>
          <w:ilvl w:val="0"/>
          <w:numId w:val="16"/>
        </w:numPr>
        <w:spacing w:line="276" w:lineRule="auto"/>
      </w:pPr>
      <w:r w:rsidRPr="0015461C">
        <w:rPr>
          <w:rFonts w:eastAsiaTheme="minorEastAsia"/>
        </w:rPr>
        <w:t xml:space="preserve">Rely on self-reported gender to offer any gender-specific </w:t>
      </w:r>
      <w:proofErr w:type="gramStart"/>
      <w:r w:rsidRPr="0015461C">
        <w:rPr>
          <w:rFonts w:eastAsiaTheme="minorEastAsia"/>
        </w:rPr>
        <w:t>accommodations</w:t>
      </w:r>
      <w:proofErr w:type="gramEnd"/>
    </w:p>
    <w:p w14:paraId="53AF275D" w14:textId="77777777" w:rsidR="0015461C" w:rsidRPr="0015461C" w:rsidRDefault="0015461C" w:rsidP="0015461C">
      <w:pPr>
        <w:spacing w:line="276" w:lineRule="auto"/>
      </w:pPr>
      <w:r w:rsidRPr="0015461C">
        <w:rPr>
          <w:rFonts w:eastAsiaTheme="minorEastAsia"/>
        </w:rPr>
        <w:t xml:space="preserve">Staff, volunteers, and contractors shall NOT: </w:t>
      </w:r>
    </w:p>
    <w:p w14:paraId="0185FBAC" w14:textId="77777777" w:rsidR="0015461C" w:rsidRPr="0015461C" w:rsidRDefault="0015461C" w:rsidP="0015461C">
      <w:pPr>
        <w:numPr>
          <w:ilvl w:val="0"/>
          <w:numId w:val="17"/>
        </w:numPr>
        <w:spacing w:line="276" w:lineRule="auto"/>
      </w:pPr>
      <w:r w:rsidRPr="0015461C">
        <w:rPr>
          <w:rFonts w:eastAsiaTheme="minorEastAsia"/>
        </w:rPr>
        <w:t xml:space="preserve">Make assumptions about gender based on </w:t>
      </w:r>
      <w:proofErr w:type="gramStart"/>
      <w:r w:rsidRPr="0015461C">
        <w:rPr>
          <w:rFonts w:eastAsiaTheme="minorEastAsia"/>
        </w:rPr>
        <w:t>appearance</w:t>
      </w:r>
      <w:proofErr w:type="gramEnd"/>
    </w:p>
    <w:p w14:paraId="0C14A3A5" w14:textId="77777777" w:rsidR="0015461C" w:rsidRPr="0015461C" w:rsidRDefault="0015461C" w:rsidP="0015461C">
      <w:pPr>
        <w:numPr>
          <w:ilvl w:val="0"/>
          <w:numId w:val="17"/>
        </w:numPr>
        <w:spacing w:line="276" w:lineRule="auto"/>
      </w:pPr>
      <w:r w:rsidRPr="0015461C">
        <w:rPr>
          <w:rFonts w:eastAsiaTheme="minorEastAsia"/>
        </w:rPr>
        <w:t xml:space="preserve">Require a person’s self-reported gender to match their ID, birth certificate or other official records of sex assigned at </w:t>
      </w:r>
      <w:proofErr w:type="gramStart"/>
      <w:r w:rsidRPr="0015461C">
        <w:rPr>
          <w:rFonts w:eastAsiaTheme="minorEastAsia"/>
        </w:rPr>
        <w:t>birth</w:t>
      </w:r>
      <w:proofErr w:type="gramEnd"/>
    </w:p>
    <w:p w14:paraId="0ED6A03A" w14:textId="77777777" w:rsidR="0015461C" w:rsidRPr="0015461C" w:rsidRDefault="0015461C" w:rsidP="0015461C">
      <w:pPr>
        <w:numPr>
          <w:ilvl w:val="0"/>
          <w:numId w:val="17"/>
        </w:numPr>
        <w:spacing w:line="276" w:lineRule="auto"/>
      </w:pPr>
      <w:r w:rsidRPr="0015461C">
        <w:rPr>
          <w:rFonts w:eastAsiaTheme="minorEastAsia"/>
        </w:rPr>
        <w:t xml:space="preserve">Single out clients to ask their medical or surgical status. Inquiries must be necessary and asked of all clients, e.g., current medications, physical and mental health needs, and other information for service provision or </w:t>
      </w:r>
      <w:proofErr w:type="gramStart"/>
      <w:r w:rsidRPr="0015461C">
        <w:rPr>
          <w:rFonts w:eastAsiaTheme="minorEastAsia"/>
        </w:rPr>
        <w:t>referral</w:t>
      </w:r>
      <w:proofErr w:type="gramEnd"/>
    </w:p>
    <w:p w14:paraId="62D47B55" w14:textId="77777777" w:rsidR="009C4535" w:rsidRDefault="009C4535" w:rsidP="00C53C19">
      <w:pPr>
        <w:spacing w:line="276" w:lineRule="auto"/>
      </w:pPr>
    </w:p>
    <w:p w14:paraId="3635481B" w14:textId="765AE774" w:rsidR="000531CB" w:rsidRDefault="000531CB" w:rsidP="00C53C19">
      <w:pPr>
        <w:pStyle w:val="Heading3"/>
        <w:spacing w:line="276" w:lineRule="auto"/>
      </w:pPr>
      <w:r w:rsidRPr="00A25054">
        <w:lastRenderedPageBreak/>
        <w:t xml:space="preserve">Eligibility for </w:t>
      </w:r>
      <w:r>
        <w:t xml:space="preserve">and Provision of </w:t>
      </w:r>
      <w:r w:rsidRPr="00A25054">
        <w:t xml:space="preserve">Services </w:t>
      </w:r>
    </w:p>
    <w:p w14:paraId="7E2F03AB" w14:textId="14806679" w:rsidR="004F4C1C" w:rsidRPr="004F4C1C" w:rsidRDefault="002E004E" w:rsidP="004F4C1C">
      <w:pPr>
        <w:spacing w:line="276" w:lineRule="auto"/>
      </w:pPr>
      <w:r>
        <w:rPr>
          <w:b/>
          <w:bCs/>
        </w:rPr>
        <w:t>[</w:t>
      </w:r>
      <w:r w:rsidRPr="0015461C">
        <w:rPr>
          <w:b/>
          <w:bCs/>
          <w:highlight w:val="yellow"/>
        </w:rPr>
        <w:t>Agency</w:t>
      </w:r>
      <w:r>
        <w:rPr>
          <w:b/>
          <w:bCs/>
        </w:rPr>
        <w:t xml:space="preserve">] does </w:t>
      </w:r>
      <w:r w:rsidR="004F4C1C" w:rsidRPr="004F4C1C">
        <w:rPr>
          <w:rFonts w:eastAsiaTheme="minorEastAsia"/>
          <w:b/>
          <w:bCs/>
        </w:rPr>
        <w:t xml:space="preserve">not render persons ineligible for their services </w:t>
      </w:r>
      <w:proofErr w:type="gramStart"/>
      <w:r w:rsidR="004F4C1C" w:rsidRPr="004F4C1C">
        <w:rPr>
          <w:rFonts w:eastAsiaTheme="minorEastAsia"/>
          <w:b/>
          <w:bCs/>
        </w:rPr>
        <w:t>on the basis of</w:t>
      </w:r>
      <w:proofErr w:type="gramEnd"/>
      <w:r w:rsidR="004F4C1C" w:rsidRPr="004F4C1C">
        <w:rPr>
          <w:rFonts w:eastAsiaTheme="minorEastAsia"/>
          <w:b/>
          <w:bCs/>
        </w:rPr>
        <w:t xml:space="preserve"> that person’s gender identity, gender expression, sexual orientation, or family composition. </w:t>
      </w:r>
    </w:p>
    <w:p w14:paraId="6CACAA49" w14:textId="77777777" w:rsidR="004F4C1C" w:rsidRPr="004F4C1C" w:rsidRDefault="004F4C1C" w:rsidP="004F4C1C">
      <w:pPr>
        <w:spacing w:line="276" w:lineRule="auto"/>
      </w:pPr>
      <w:r w:rsidRPr="004F4C1C">
        <w:rPr>
          <w:rFonts w:eastAsiaTheme="minorEastAsia"/>
        </w:rPr>
        <w:t xml:space="preserve">Transgender and gender expansive clients who are approved for services must be provided with the same range of services and options available to other similarly situated clients. </w:t>
      </w:r>
    </w:p>
    <w:p w14:paraId="07CAA277" w14:textId="77777777" w:rsidR="002E004E" w:rsidRDefault="002E004E" w:rsidP="004F4C1C">
      <w:pPr>
        <w:spacing w:line="276" w:lineRule="auto"/>
        <w:rPr>
          <w:b/>
          <w:bCs/>
        </w:rPr>
      </w:pPr>
    </w:p>
    <w:p w14:paraId="370D9367" w14:textId="1CE7E861" w:rsidR="004F4C1C" w:rsidRPr="004F4C1C" w:rsidRDefault="004F4C1C" w:rsidP="004F4C1C">
      <w:pPr>
        <w:spacing w:line="276" w:lineRule="auto"/>
      </w:pPr>
      <w:r w:rsidRPr="004F4C1C">
        <w:rPr>
          <w:rFonts w:eastAsiaTheme="minorEastAsia"/>
          <w:b/>
          <w:bCs/>
        </w:rPr>
        <w:t xml:space="preserve">Staff, </w:t>
      </w:r>
      <w:proofErr w:type="gramStart"/>
      <w:r w:rsidRPr="004F4C1C">
        <w:rPr>
          <w:rFonts w:eastAsiaTheme="minorEastAsia"/>
          <w:b/>
          <w:bCs/>
        </w:rPr>
        <w:t>volunteers</w:t>
      </w:r>
      <w:proofErr w:type="gramEnd"/>
      <w:r w:rsidRPr="004F4C1C">
        <w:rPr>
          <w:rFonts w:eastAsiaTheme="minorEastAsia"/>
          <w:b/>
          <w:bCs/>
        </w:rPr>
        <w:t xml:space="preserve"> and contractors may NOT: </w:t>
      </w:r>
    </w:p>
    <w:p w14:paraId="1EDCAB04" w14:textId="77777777" w:rsidR="004F4C1C" w:rsidRPr="004F4C1C" w:rsidRDefault="004F4C1C" w:rsidP="004F4C1C">
      <w:pPr>
        <w:numPr>
          <w:ilvl w:val="0"/>
          <w:numId w:val="14"/>
        </w:numPr>
        <w:spacing w:line="276" w:lineRule="auto"/>
      </w:pPr>
      <w:r w:rsidRPr="004F4C1C">
        <w:rPr>
          <w:rFonts w:eastAsiaTheme="minorEastAsia"/>
        </w:rPr>
        <w:t xml:space="preserve">Ask questions or seek information concerning a person’s anatomy or medical history unless necessary to determine eligibility, e.g. if a program serves medically fragile persons. </w:t>
      </w:r>
    </w:p>
    <w:p w14:paraId="12996EB4" w14:textId="77777777" w:rsidR="004F4C1C" w:rsidRPr="004F4C1C" w:rsidRDefault="004F4C1C" w:rsidP="004F4C1C">
      <w:pPr>
        <w:numPr>
          <w:ilvl w:val="0"/>
          <w:numId w:val="14"/>
        </w:numPr>
        <w:spacing w:line="276" w:lineRule="auto"/>
      </w:pPr>
      <w:r w:rsidRPr="004F4C1C">
        <w:rPr>
          <w:rFonts w:eastAsiaTheme="minorEastAsia"/>
        </w:rPr>
        <w:t xml:space="preserve">Determine a client or potential client to be ineligible for services if the determination was based on the person’s appearance or behavior not conforming to gender stereotypes.  </w:t>
      </w:r>
    </w:p>
    <w:p w14:paraId="6DC5CBB3" w14:textId="77777777" w:rsidR="000531CB" w:rsidRDefault="000531CB" w:rsidP="00C53C19">
      <w:pPr>
        <w:spacing w:line="276" w:lineRule="auto"/>
      </w:pPr>
    </w:p>
    <w:p w14:paraId="58249513" w14:textId="77777777" w:rsidR="000531CB" w:rsidRDefault="000531CB" w:rsidP="00C53C19">
      <w:pPr>
        <w:pStyle w:val="Heading3"/>
        <w:spacing w:line="276" w:lineRule="auto"/>
      </w:pPr>
      <w:r>
        <w:t xml:space="preserve">Name, Title, and </w:t>
      </w:r>
      <w:r w:rsidRPr="00A25054">
        <w:t xml:space="preserve">Pronoun Use </w:t>
      </w:r>
    </w:p>
    <w:p w14:paraId="0E77EE45" w14:textId="53AA0446" w:rsidR="000531CB" w:rsidRDefault="000531CB" w:rsidP="00C53C19">
      <w:pPr>
        <w:spacing w:line="276" w:lineRule="auto"/>
      </w:pPr>
      <w:r>
        <w:t>[</w:t>
      </w:r>
      <w:r w:rsidRPr="0047655F">
        <w:rPr>
          <w:highlight w:val="yellow"/>
        </w:rPr>
        <w:t>Agency</w:t>
      </w:r>
      <w:r>
        <w:t xml:space="preserve">] </w:t>
      </w:r>
      <w:r w:rsidRPr="00A25054">
        <w:t>respects a client’s right to use a name other than their legal name</w:t>
      </w:r>
      <w:r>
        <w:t xml:space="preserve"> and to use the title and pronouns that align with a client’s gender identity</w:t>
      </w:r>
      <w:r w:rsidRPr="00A25054">
        <w:t xml:space="preserve">. To comply with state and federal requirements, it is important to record a client’s legal name at intake and in the case record.  Whenever interacting with a client for the first time, ask, “How would you like me to address you by name and gender pronoun?” and address them accordingly. </w:t>
      </w:r>
      <w:r w:rsidR="00BD79BE">
        <w:t xml:space="preserve">Similarly, </w:t>
      </w:r>
      <w:r w:rsidR="00A05EE1">
        <w:t xml:space="preserve">asking what title someone uses – e.g. </w:t>
      </w:r>
      <w:proofErr w:type="spellStart"/>
      <w:r w:rsidR="00A05EE1">
        <w:t>Mr</w:t>
      </w:r>
      <w:proofErr w:type="spellEnd"/>
      <w:r w:rsidR="00A05EE1">
        <w:t xml:space="preserve">, </w:t>
      </w:r>
      <w:proofErr w:type="spellStart"/>
      <w:r w:rsidR="00A05EE1">
        <w:t>Ms</w:t>
      </w:r>
      <w:proofErr w:type="spellEnd"/>
      <w:r w:rsidR="00A05EE1">
        <w:t xml:space="preserve">, </w:t>
      </w:r>
      <w:proofErr w:type="spellStart"/>
      <w:r w:rsidR="00A05EE1">
        <w:t>Mrs</w:t>
      </w:r>
      <w:proofErr w:type="spellEnd"/>
      <w:r w:rsidR="00A05EE1">
        <w:t xml:space="preserve">, Mx – and thereafter referring to the person with that title is appropriate for all staff, </w:t>
      </w:r>
      <w:proofErr w:type="gramStart"/>
      <w:r w:rsidR="00A05EE1">
        <w:t>volunteers</w:t>
      </w:r>
      <w:proofErr w:type="gramEnd"/>
      <w:r w:rsidR="00A05EE1">
        <w:t xml:space="preserve"> and contractors.</w:t>
      </w:r>
    </w:p>
    <w:p w14:paraId="29FC83EA" w14:textId="77777777" w:rsidR="000531CB" w:rsidRDefault="000531CB" w:rsidP="00C53C19">
      <w:pPr>
        <w:spacing w:line="276" w:lineRule="auto"/>
      </w:pPr>
    </w:p>
    <w:p w14:paraId="575D8059" w14:textId="3BC6370E" w:rsidR="000531CB" w:rsidRDefault="00F9445F" w:rsidP="00C53C19">
      <w:pPr>
        <w:spacing w:line="276" w:lineRule="auto"/>
      </w:pPr>
      <w:r>
        <w:t xml:space="preserve">Staff, volunteers, and contractors must </w:t>
      </w:r>
      <w:r w:rsidR="000531CB" w:rsidRPr="00A25054">
        <w:t xml:space="preserve">refer to individuals by the name they use for themselves, as well as by their preferred title and gender pronouns, whether addressing them directly or referring to them in conversation. If </w:t>
      </w:r>
      <w:r w:rsidR="000B55D1">
        <w:t>staff, volunteers, or contractors</w:t>
      </w:r>
      <w:r w:rsidR="000531CB" w:rsidRPr="00A25054">
        <w:t xml:space="preserve"> make a mistake, </w:t>
      </w:r>
      <w:r w:rsidR="000B55D1">
        <w:t xml:space="preserve">the correct course of action is to simply </w:t>
      </w:r>
      <w:r w:rsidR="000531CB" w:rsidRPr="00A25054">
        <w:t xml:space="preserve">apologize and correct </w:t>
      </w:r>
      <w:r w:rsidR="000B55D1">
        <w:t>one</w:t>
      </w:r>
      <w:r w:rsidR="000531CB" w:rsidRPr="00A25054">
        <w:t xml:space="preserve">self. If </w:t>
      </w:r>
      <w:r w:rsidR="000B55D1">
        <w:t>staff, volunteers, or contractors are</w:t>
      </w:r>
      <w:r w:rsidR="000531CB" w:rsidRPr="00A25054">
        <w:t xml:space="preserve"> unsure </w:t>
      </w:r>
      <w:r w:rsidR="000B55D1">
        <w:t xml:space="preserve">about someone’s pronouns, </w:t>
      </w:r>
      <w:r w:rsidR="000531CB" w:rsidRPr="00A25054">
        <w:t xml:space="preserve">or if referring to </w:t>
      </w:r>
      <w:r w:rsidR="000B55D1">
        <w:t>the person</w:t>
      </w:r>
      <w:r w:rsidR="000531CB" w:rsidRPr="00A25054">
        <w:t xml:space="preserve"> before interacting with them directly, </w:t>
      </w:r>
      <w:r w:rsidR="00BD79BE">
        <w:t>it is appropriate to</w:t>
      </w:r>
      <w:r w:rsidR="000531CB" w:rsidRPr="00A25054">
        <w:t xml:space="preserve"> use “they/them” pronouns.</w:t>
      </w:r>
      <w:r w:rsidR="000531CB">
        <w:t xml:space="preserve"> </w:t>
      </w:r>
      <w:r w:rsidR="000531CB" w:rsidRPr="00A25054">
        <w:t>If staff</w:t>
      </w:r>
      <w:r w:rsidR="00BD79BE">
        <w:t>, volunteers, or contractors already</w:t>
      </w:r>
      <w:r w:rsidR="000531CB" w:rsidRPr="00A25054">
        <w:t xml:space="preserve"> know an individual’s title, pronouns, and the name they go by, disregarding or refusing to address the person using this information is a form of harassment and unlawful discrimination.</w:t>
      </w:r>
    </w:p>
    <w:p w14:paraId="44A380ED" w14:textId="77777777" w:rsidR="000531CB" w:rsidRDefault="000531CB" w:rsidP="00C53C19">
      <w:pPr>
        <w:pStyle w:val="Heading3"/>
        <w:spacing w:line="276" w:lineRule="auto"/>
      </w:pPr>
    </w:p>
    <w:p w14:paraId="3EAAEAF5" w14:textId="07CB40D2" w:rsidR="000531CB" w:rsidRDefault="00BB4FCE" w:rsidP="00C53C19">
      <w:pPr>
        <w:pStyle w:val="Heading3"/>
        <w:spacing w:line="276" w:lineRule="auto"/>
      </w:pPr>
      <w:r>
        <w:t xml:space="preserve">Agency </w:t>
      </w:r>
      <w:r w:rsidR="000531CB">
        <w:t xml:space="preserve">Forms, Legal </w:t>
      </w:r>
      <w:r>
        <w:t>and</w:t>
      </w:r>
      <w:r w:rsidR="000531CB">
        <w:t xml:space="preserve"> Chosen Name</w:t>
      </w:r>
      <w:r>
        <w:t>s</w:t>
      </w:r>
      <w:r w:rsidR="000531CB">
        <w:t>, and Legal Documents</w:t>
      </w:r>
    </w:p>
    <w:p w14:paraId="3E049B4F" w14:textId="7153705C" w:rsidR="000531CB" w:rsidRDefault="000531CB" w:rsidP="00C53C19">
      <w:pPr>
        <w:spacing w:line="276" w:lineRule="auto"/>
      </w:pPr>
      <w:r>
        <w:t xml:space="preserve">HMIS </w:t>
      </w:r>
      <w:r w:rsidR="00C27235">
        <w:t>data collection no longer requires</w:t>
      </w:r>
      <w:r>
        <w:t xml:space="preserve"> the </w:t>
      </w:r>
      <w:r w:rsidRPr="00A25054">
        <w:t>client’s legal name</w:t>
      </w:r>
      <w:r w:rsidR="00C27235">
        <w:t xml:space="preserve">. </w:t>
      </w:r>
      <w:r w:rsidRPr="00A25054">
        <w:t xml:space="preserve"> </w:t>
      </w:r>
      <w:r w:rsidR="00C27235">
        <w:t>Where a</w:t>
      </w:r>
      <w:r w:rsidRPr="00A25054">
        <w:t xml:space="preserve"> client’s </w:t>
      </w:r>
      <w:r>
        <w:t>chosen</w:t>
      </w:r>
      <w:r w:rsidRPr="00A25054">
        <w:t xml:space="preserve"> name differs from their legal name</w:t>
      </w:r>
      <w:r w:rsidR="00C27235">
        <w:t>,</w:t>
      </w:r>
      <w:r w:rsidRPr="00A25054">
        <w:t xml:space="preserve"> </w:t>
      </w:r>
      <w:r>
        <w:t>[</w:t>
      </w:r>
      <w:r w:rsidR="00C27235">
        <w:rPr>
          <w:highlight w:val="yellow"/>
        </w:rPr>
        <w:t>a</w:t>
      </w:r>
      <w:r w:rsidRPr="00033C21">
        <w:rPr>
          <w:highlight w:val="yellow"/>
        </w:rPr>
        <w:t>gency</w:t>
      </w:r>
      <w:r>
        <w:t xml:space="preserve">] </w:t>
      </w:r>
      <w:r w:rsidRPr="00A25054">
        <w:t xml:space="preserve">rosters and </w:t>
      </w:r>
      <w:r>
        <w:t>forms</w:t>
      </w:r>
      <w:r w:rsidRPr="00A25054">
        <w:t xml:space="preserve"> will display a client’s </w:t>
      </w:r>
      <w:r>
        <w:t>chosen</w:t>
      </w:r>
      <w:r w:rsidRPr="00A25054">
        <w:t xml:space="preserve"> name</w:t>
      </w:r>
      <w:r>
        <w:t xml:space="preserve"> where applicable</w:t>
      </w:r>
      <w:r w:rsidRPr="00A25054">
        <w:t xml:space="preserve">. Client signatures, using legal or </w:t>
      </w:r>
      <w:r>
        <w:t>chosen</w:t>
      </w:r>
      <w:r w:rsidRPr="00A25054">
        <w:t xml:space="preserve"> name, confirm acknowledgement and acceptance. </w:t>
      </w:r>
    </w:p>
    <w:p w14:paraId="51C70B87" w14:textId="77777777" w:rsidR="000531CB" w:rsidRDefault="000531CB" w:rsidP="00C53C19">
      <w:pPr>
        <w:spacing w:line="276" w:lineRule="auto"/>
      </w:pPr>
    </w:p>
    <w:p w14:paraId="3F620F67" w14:textId="5EF926B6" w:rsidR="000531CB" w:rsidRDefault="000531CB" w:rsidP="00C53C19">
      <w:pPr>
        <w:spacing w:line="276" w:lineRule="auto"/>
      </w:pPr>
      <w:r>
        <w:t xml:space="preserve">Staff, </w:t>
      </w:r>
      <w:proofErr w:type="gramStart"/>
      <w:r>
        <w:t>volunteers</w:t>
      </w:r>
      <w:proofErr w:type="gramEnd"/>
      <w:r>
        <w:t xml:space="preserve"> and contractors (as appropriate) </w:t>
      </w:r>
      <w:r w:rsidR="00ED02BA">
        <w:t xml:space="preserve">are encouraged to </w:t>
      </w:r>
      <w:r>
        <w:t>actively engage in h</w:t>
      </w:r>
      <w:r w:rsidRPr="00A25054">
        <w:t>elp</w:t>
      </w:r>
      <w:r>
        <w:t>ing</w:t>
      </w:r>
      <w:r w:rsidRPr="00A25054">
        <w:t xml:space="preserve"> clients understand the resources available to help them obtain</w:t>
      </w:r>
      <w:r>
        <w:t xml:space="preserve"> </w:t>
      </w:r>
      <w:r w:rsidRPr="00A25054">
        <w:t>legal identification document</w:t>
      </w:r>
      <w:r>
        <w:t>s</w:t>
      </w:r>
      <w:r w:rsidR="00ED02BA">
        <w:t xml:space="preserve"> with correct</w:t>
      </w:r>
      <w:r>
        <w:t xml:space="preserve"> gender marker</w:t>
      </w:r>
      <w:r w:rsidR="00ED02BA">
        <w:t>s</w:t>
      </w:r>
      <w:r>
        <w:t xml:space="preserve"> and legal name</w:t>
      </w:r>
      <w:r w:rsidR="00ED02BA">
        <w:t>s</w:t>
      </w:r>
      <w:r>
        <w:t xml:space="preserve">. </w:t>
      </w:r>
    </w:p>
    <w:p w14:paraId="2FF5B0CB" w14:textId="77777777" w:rsidR="000531CB" w:rsidRDefault="000531CB" w:rsidP="00C53C19">
      <w:pPr>
        <w:spacing w:line="276" w:lineRule="auto"/>
      </w:pPr>
    </w:p>
    <w:p w14:paraId="540F6A04" w14:textId="77777777" w:rsidR="00A25054" w:rsidRDefault="00A25054" w:rsidP="00C53C19">
      <w:pPr>
        <w:pStyle w:val="Heading3"/>
        <w:spacing w:line="276" w:lineRule="auto"/>
      </w:pPr>
      <w:r w:rsidRPr="00A25054">
        <w:t xml:space="preserve">Confidentiality and Privacy </w:t>
      </w:r>
    </w:p>
    <w:p w14:paraId="75367254" w14:textId="77777777" w:rsidR="00BB4FCE" w:rsidRDefault="00405CDC" w:rsidP="00C53C19">
      <w:pPr>
        <w:spacing w:line="276" w:lineRule="auto"/>
      </w:pPr>
      <w:r w:rsidRPr="00A25054">
        <w:t>All clients have the right to privacy. Staff must not share a client’s transgender status, non-binary status, intersex status, or medical history without the client’s direct permission. This applies to both private and professional settings, including conversations with other staff members. If necessary, staff may share a client’s preferred name and gender pronouns to ensure that staff and clients respectfully address the client.</w:t>
      </w:r>
      <w:r w:rsidR="00ED02BA">
        <w:t xml:space="preserve"> </w:t>
      </w:r>
    </w:p>
    <w:p w14:paraId="07CC82BB" w14:textId="77777777" w:rsidR="00BB4FCE" w:rsidRDefault="00BB4FCE" w:rsidP="00C53C19">
      <w:pPr>
        <w:spacing w:line="276" w:lineRule="auto"/>
      </w:pPr>
    </w:p>
    <w:p w14:paraId="477F4D75" w14:textId="06672E84" w:rsidR="00405CDC" w:rsidRDefault="00405CDC" w:rsidP="00C53C19">
      <w:pPr>
        <w:spacing w:line="276" w:lineRule="auto"/>
      </w:pPr>
      <w:r w:rsidRPr="00A25054">
        <w:t>Answering “yes” to the questions below is a good guideline for determining if you need to</w:t>
      </w:r>
      <w:r w:rsidR="00256216">
        <w:t xml:space="preserve"> collect, record, or</w:t>
      </w:r>
      <w:r w:rsidRPr="00A25054">
        <w:t xml:space="preserve"> discuss an individual’s transgender status, </w:t>
      </w:r>
      <w:r w:rsidR="00CD578B">
        <w:t xml:space="preserve">sexual orientation, </w:t>
      </w:r>
      <w:r w:rsidRPr="00A25054">
        <w:t xml:space="preserve">non-binary status, intersex status, and/or medical history. </w:t>
      </w:r>
    </w:p>
    <w:p w14:paraId="3A56641F" w14:textId="77777777" w:rsidR="00256216" w:rsidRDefault="00256216" w:rsidP="00256216">
      <w:pPr>
        <w:spacing w:line="276" w:lineRule="auto"/>
        <w:rPr>
          <w:b/>
          <w:bCs/>
        </w:rPr>
      </w:pPr>
    </w:p>
    <w:p w14:paraId="4D86AFD1" w14:textId="05B98CAC" w:rsidR="00DB0EFB" w:rsidRPr="00256216" w:rsidRDefault="00540D21" w:rsidP="00256216">
      <w:pPr>
        <w:spacing w:line="276" w:lineRule="auto"/>
        <w:rPr>
          <w:i/>
          <w:iCs/>
        </w:rPr>
      </w:pPr>
      <w:r w:rsidRPr="00256216">
        <w:rPr>
          <w:b/>
          <w:bCs/>
        </w:rPr>
        <w:t>Ask:</w:t>
      </w:r>
      <w:r>
        <w:t xml:space="preserve"> </w:t>
      </w:r>
      <w:r>
        <w:tab/>
      </w:r>
      <w:r w:rsidR="00DB0EFB" w:rsidRPr="00256216">
        <w:rPr>
          <w:i/>
          <w:iCs/>
        </w:rPr>
        <w:t>Am I required to collect this information?</w:t>
      </w:r>
    </w:p>
    <w:p w14:paraId="6F4763A8" w14:textId="698279C7" w:rsidR="00ED02BA" w:rsidRPr="00256216" w:rsidRDefault="00DB0EFB" w:rsidP="00256216">
      <w:pPr>
        <w:spacing w:line="276" w:lineRule="auto"/>
        <w:ind w:firstLine="720"/>
        <w:rPr>
          <w:i/>
          <w:iCs/>
        </w:rPr>
      </w:pPr>
      <w:r w:rsidRPr="00256216">
        <w:rPr>
          <w:i/>
          <w:iCs/>
        </w:rPr>
        <w:t xml:space="preserve">Do I need to collect the information to </w:t>
      </w:r>
      <w:r w:rsidR="00540D21" w:rsidRPr="00256216">
        <w:rPr>
          <w:i/>
          <w:iCs/>
        </w:rPr>
        <w:t xml:space="preserve">perform </w:t>
      </w:r>
      <w:r w:rsidRPr="00256216">
        <w:rPr>
          <w:i/>
          <w:iCs/>
        </w:rPr>
        <w:t>my</w:t>
      </w:r>
      <w:r w:rsidR="00540D21" w:rsidRPr="00256216">
        <w:rPr>
          <w:i/>
          <w:iCs/>
        </w:rPr>
        <w:t xml:space="preserve"> job?</w:t>
      </w:r>
    </w:p>
    <w:p w14:paraId="48FCA03F" w14:textId="2B55665E" w:rsidR="00540D21" w:rsidRPr="00256216" w:rsidRDefault="00540D21" w:rsidP="00256216">
      <w:pPr>
        <w:spacing w:line="276" w:lineRule="auto"/>
        <w:ind w:firstLine="720"/>
        <w:rPr>
          <w:i/>
          <w:iCs/>
        </w:rPr>
      </w:pPr>
      <w:r w:rsidRPr="00256216">
        <w:rPr>
          <w:i/>
          <w:iCs/>
        </w:rPr>
        <w:t xml:space="preserve">Will sharing the information help </w:t>
      </w:r>
      <w:r w:rsidR="00DB0EFB" w:rsidRPr="00256216">
        <w:rPr>
          <w:i/>
          <w:iCs/>
        </w:rPr>
        <w:t>me</w:t>
      </w:r>
      <w:r w:rsidRPr="00256216">
        <w:rPr>
          <w:i/>
          <w:iCs/>
        </w:rPr>
        <w:t xml:space="preserve"> perform your job? </w:t>
      </w:r>
    </w:p>
    <w:p w14:paraId="29EDF6BA" w14:textId="48ADBCDE" w:rsidR="00540D21" w:rsidRPr="00256216" w:rsidRDefault="00540D21" w:rsidP="00256216">
      <w:pPr>
        <w:spacing w:line="276" w:lineRule="auto"/>
        <w:ind w:firstLine="720"/>
        <w:rPr>
          <w:i/>
          <w:iCs/>
        </w:rPr>
      </w:pPr>
      <w:r w:rsidRPr="00256216">
        <w:rPr>
          <w:i/>
          <w:iCs/>
        </w:rPr>
        <w:t xml:space="preserve">Have </w:t>
      </w:r>
      <w:r w:rsidR="00DB0EFB" w:rsidRPr="00256216">
        <w:rPr>
          <w:i/>
          <w:iCs/>
        </w:rPr>
        <w:t>I</w:t>
      </w:r>
      <w:r w:rsidRPr="00256216">
        <w:rPr>
          <w:i/>
          <w:iCs/>
        </w:rPr>
        <w:t xml:space="preserve"> explained to the </w:t>
      </w:r>
      <w:r w:rsidR="00DB0EFB" w:rsidRPr="00256216">
        <w:rPr>
          <w:i/>
          <w:iCs/>
        </w:rPr>
        <w:t>client</w:t>
      </w:r>
      <w:r w:rsidRPr="00256216">
        <w:rPr>
          <w:i/>
          <w:iCs/>
        </w:rPr>
        <w:t xml:space="preserve"> that </w:t>
      </w:r>
      <w:r w:rsidR="00DB0EFB" w:rsidRPr="00256216">
        <w:rPr>
          <w:i/>
          <w:iCs/>
        </w:rPr>
        <w:t>I</w:t>
      </w:r>
      <w:r w:rsidRPr="00256216">
        <w:rPr>
          <w:i/>
          <w:iCs/>
        </w:rPr>
        <w:t xml:space="preserve"> need to share </w:t>
      </w:r>
      <w:r w:rsidR="00DB0EFB" w:rsidRPr="00256216">
        <w:rPr>
          <w:i/>
          <w:iCs/>
        </w:rPr>
        <w:t>their</w:t>
      </w:r>
      <w:r w:rsidRPr="00256216">
        <w:rPr>
          <w:i/>
          <w:iCs/>
        </w:rPr>
        <w:t xml:space="preserve"> info?</w:t>
      </w:r>
    </w:p>
    <w:p w14:paraId="4530049C" w14:textId="706E3622" w:rsidR="00111013" w:rsidRDefault="00111013" w:rsidP="00C53C19">
      <w:pPr>
        <w:spacing w:line="276" w:lineRule="auto"/>
      </w:pPr>
    </w:p>
    <w:p w14:paraId="19C9A624" w14:textId="7B0138DA" w:rsidR="00CD578B" w:rsidRDefault="00A25054" w:rsidP="00C53C19">
      <w:pPr>
        <w:pStyle w:val="Heading3"/>
        <w:spacing w:line="276" w:lineRule="auto"/>
      </w:pPr>
      <w:r w:rsidRPr="00A25054">
        <w:t xml:space="preserve">Physical Accommodations </w:t>
      </w:r>
    </w:p>
    <w:p w14:paraId="056F60CB" w14:textId="020C4B9C" w:rsidR="007D3FDB" w:rsidRDefault="00F65C7D" w:rsidP="00C53C19">
      <w:pPr>
        <w:spacing w:line="276" w:lineRule="auto"/>
      </w:pPr>
      <w:r>
        <w:t>[</w:t>
      </w:r>
      <w:r w:rsidR="00A25054" w:rsidRPr="00FF2C2B">
        <w:rPr>
          <w:highlight w:val="yellow"/>
        </w:rPr>
        <w:t>Agency</w:t>
      </w:r>
      <w:r w:rsidR="009E40AD">
        <w:t>]</w:t>
      </w:r>
      <w:r w:rsidR="00A25054" w:rsidRPr="00A25054">
        <w:t xml:space="preserve"> will make gender-appropriate bathroom and bedroom facilities</w:t>
      </w:r>
      <w:r w:rsidR="009E40AD">
        <w:t>,</w:t>
      </w:r>
      <w:r w:rsidR="00A25054" w:rsidRPr="00A25054">
        <w:t xml:space="preserve"> as well as changing areas</w:t>
      </w:r>
      <w:r>
        <w:t>,</w:t>
      </w:r>
      <w:r w:rsidR="00A25054" w:rsidRPr="00A25054">
        <w:t xml:space="preserve"> available to </w:t>
      </w:r>
      <w:r w:rsidR="00DF603C">
        <w:t>transgender and gender non-conforming</w:t>
      </w:r>
      <w:r>
        <w:t xml:space="preserve"> </w:t>
      </w:r>
      <w:r w:rsidR="00A25054" w:rsidRPr="00A25054">
        <w:t>clients</w:t>
      </w:r>
      <w:r w:rsidR="002735B2">
        <w:t>, guaranteeing the following:</w:t>
      </w:r>
      <w:r w:rsidR="00A25054" w:rsidRPr="00A25054">
        <w:t xml:space="preserve"> </w:t>
      </w:r>
    </w:p>
    <w:p w14:paraId="5E4B5673" w14:textId="03174969" w:rsidR="00A25054" w:rsidRDefault="00F65C7D" w:rsidP="00C53C19">
      <w:pPr>
        <w:pStyle w:val="ListParagraph"/>
        <w:numPr>
          <w:ilvl w:val="0"/>
          <w:numId w:val="3"/>
        </w:numPr>
        <w:spacing w:line="276" w:lineRule="auto"/>
      </w:pPr>
      <w:r>
        <w:t>All clients</w:t>
      </w:r>
      <w:r w:rsidR="00A25054" w:rsidRPr="00A25054">
        <w:t xml:space="preserve"> who identify as women are housed with the women and use </w:t>
      </w:r>
      <w:r w:rsidR="000C448B">
        <w:t xml:space="preserve">women’s </w:t>
      </w:r>
      <w:r w:rsidR="00A25054" w:rsidRPr="00A25054">
        <w:t xml:space="preserve">showers and bathrooms. Transgender women shall have the same access to bathrooms, showers, changing areas, and bedrooms as </w:t>
      </w:r>
      <w:r w:rsidR="00F75CC7">
        <w:t xml:space="preserve">people </w:t>
      </w:r>
      <w:r w:rsidR="00A25054" w:rsidRPr="00A25054">
        <w:t>assigned female at birth.</w:t>
      </w:r>
    </w:p>
    <w:p w14:paraId="3E25B928" w14:textId="2F67F54C" w:rsidR="00D13426" w:rsidRDefault="00D13426" w:rsidP="00C53C19">
      <w:pPr>
        <w:pStyle w:val="ListParagraph"/>
        <w:numPr>
          <w:ilvl w:val="0"/>
          <w:numId w:val="3"/>
        </w:numPr>
        <w:spacing w:line="276" w:lineRule="auto"/>
      </w:pPr>
      <w:r>
        <w:t>All clients</w:t>
      </w:r>
      <w:r w:rsidR="00A25054" w:rsidRPr="00A25054">
        <w:t xml:space="preserve"> who identify as men are housed with the men and use the men’s showers and bathrooms. Transgender men shall have the same access to bathrooms, showers, changing areas, and bedrooms as persons assigned male at birth. </w:t>
      </w:r>
    </w:p>
    <w:p w14:paraId="54F32398" w14:textId="304C687E" w:rsidR="002735B2" w:rsidRDefault="004E613B" w:rsidP="00C53C19">
      <w:pPr>
        <w:pStyle w:val="ListParagraph"/>
        <w:numPr>
          <w:ilvl w:val="0"/>
          <w:numId w:val="3"/>
        </w:numPr>
        <w:spacing w:line="276" w:lineRule="auto"/>
      </w:pPr>
      <w:r>
        <w:t>Clients</w:t>
      </w:r>
      <w:r w:rsidR="00A25054" w:rsidRPr="00A25054">
        <w:t xml:space="preserve"> who identify as neither male </w:t>
      </w:r>
      <w:r w:rsidR="007D3FDB">
        <w:t>n</w:t>
      </w:r>
      <w:r w:rsidR="00A25054" w:rsidRPr="00A25054">
        <w:t>or female</w:t>
      </w:r>
      <w:r w:rsidR="00326AB7">
        <w:t>, e.g., non-binary, genderfluid, Two-Spirit individuals</w:t>
      </w:r>
      <w:r w:rsidR="00A25054" w:rsidRPr="00A25054">
        <w:t xml:space="preserve">, are to be housed in and use the bathrooms and showers in the section </w:t>
      </w:r>
      <w:r w:rsidR="00D7412E">
        <w:t>that they deem most appropriate to meet their privacy and safety needs</w:t>
      </w:r>
      <w:r w:rsidR="00A25054" w:rsidRPr="00A25054">
        <w:t xml:space="preserve">. </w:t>
      </w:r>
    </w:p>
    <w:p w14:paraId="1CEB8C2F" w14:textId="0B752AE0" w:rsidR="002735B2" w:rsidRDefault="00DF603C" w:rsidP="00C53C19">
      <w:pPr>
        <w:pStyle w:val="ListParagraph"/>
        <w:numPr>
          <w:ilvl w:val="0"/>
          <w:numId w:val="3"/>
        </w:numPr>
        <w:spacing w:line="276" w:lineRule="auto"/>
      </w:pPr>
      <w:r>
        <w:t>Transgender</w:t>
      </w:r>
      <w:r w:rsidR="004E613B">
        <w:t xml:space="preserve"> and</w:t>
      </w:r>
      <w:r>
        <w:t xml:space="preserve"> gender non-conforming</w:t>
      </w:r>
      <w:r w:rsidR="002735B2" w:rsidRPr="00A25054">
        <w:t xml:space="preserve"> clients </w:t>
      </w:r>
      <w:r w:rsidR="002735B2">
        <w:t>are</w:t>
      </w:r>
      <w:r w:rsidR="002735B2" w:rsidRPr="00A25054">
        <w:t xml:space="preserve"> subject to the same rules about appropriate behavior in bathrooms and showers as all clients. </w:t>
      </w:r>
    </w:p>
    <w:p w14:paraId="4C7B1463" w14:textId="28C9FE38" w:rsidR="00A25054" w:rsidRDefault="00A25054" w:rsidP="00C53C19">
      <w:pPr>
        <w:spacing w:line="276" w:lineRule="auto"/>
      </w:pPr>
    </w:p>
    <w:p w14:paraId="66503256" w14:textId="16E45129" w:rsidR="00A25054" w:rsidRDefault="000531CB" w:rsidP="00C53C19">
      <w:pPr>
        <w:pStyle w:val="Heading3"/>
        <w:spacing w:line="276" w:lineRule="auto"/>
      </w:pPr>
      <w:r>
        <w:t>Reasonable</w:t>
      </w:r>
      <w:r w:rsidR="00A25054" w:rsidRPr="00A25054">
        <w:t xml:space="preserve"> Accommodations </w:t>
      </w:r>
    </w:p>
    <w:p w14:paraId="717332FA" w14:textId="25E1C62E" w:rsidR="00A533B6" w:rsidRDefault="00A25054" w:rsidP="00C53C19">
      <w:pPr>
        <w:spacing w:line="276" w:lineRule="auto"/>
      </w:pPr>
      <w:r w:rsidRPr="00A25054">
        <w:t>Reasonable accommodations may be made for any individual, transgender or non</w:t>
      </w:r>
      <w:r w:rsidR="002735B2">
        <w:t>-</w:t>
      </w:r>
      <w:r w:rsidRPr="00A25054">
        <w:t xml:space="preserve">transgender, who has expressed privacy needs. Reasonable accommodations are made according to each </w:t>
      </w:r>
      <w:r w:rsidR="00256216">
        <w:t>person’s</w:t>
      </w:r>
      <w:r w:rsidRPr="00A25054">
        <w:t xml:space="preserve"> needs and the ability of </w:t>
      </w:r>
      <w:r w:rsidR="002735B2">
        <w:t>[</w:t>
      </w:r>
      <w:r w:rsidR="002735B2" w:rsidRPr="00D7412E">
        <w:rPr>
          <w:highlight w:val="yellow"/>
        </w:rPr>
        <w:t>agency</w:t>
      </w:r>
      <w:r w:rsidR="002735B2">
        <w:t>]</w:t>
      </w:r>
      <w:r w:rsidRPr="00A25054">
        <w:t xml:space="preserve"> to provide such accommodations. </w:t>
      </w:r>
    </w:p>
    <w:p w14:paraId="649A9542" w14:textId="77777777" w:rsidR="00A533B6" w:rsidRDefault="00A533B6" w:rsidP="00C53C19">
      <w:pPr>
        <w:spacing w:line="276" w:lineRule="auto"/>
      </w:pPr>
    </w:p>
    <w:p w14:paraId="4B29DFDA" w14:textId="3C5BE3A8" w:rsidR="002735B2" w:rsidRDefault="00A25054" w:rsidP="00C53C19">
      <w:pPr>
        <w:spacing w:line="276" w:lineRule="auto"/>
      </w:pPr>
      <w:r w:rsidRPr="00A25054">
        <w:t xml:space="preserve">Under no circumstances will a </w:t>
      </w:r>
      <w:r w:rsidR="00D7412E">
        <w:t>transgender or gender non-conforming client</w:t>
      </w:r>
      <w:r w:rsidRPr="00A25054">
        <w:t xml:space="preserve"> be required to use alternative facilities—including as an “accommodation” for another person’s discomfort. </w:t>
      </w:r>
      <w:r w:rsidR="00A533B6" w:rsidRPr="00A25054">
        <w:t xml:space="preserve">Unfortunately, shelter clients sometimes express discomfort regarding a transgender person </w:t>
      </w:r>
      <w:r w:rsidR="00A533B6" w:rsidRPr="00A25054">
        <w:lastRenderedPageBreak/>
        <w:t xml:space="preserve">sleeping in or using </w:t>
      </w:r>
      <w:r w:rsidR="00D7412E">
        <w:t>a</w:t>
      </w:r>
      <w:r w:rsidR="00A533B6" w:rsidRPr="00A25054">
        <w:t xml:space="preserve"> </w:t>
      </w:r>
      <w:r w:rsidR="00D7412E">
        <w:t xml:space="preserve">bathroom </w:t>
      </w:r>
      <w:r w:rsidR="00A533B6" w:rsidRPr="00A25054">
        <w:t xml:space="preserve">facility that is consistent with the transgender person’s gender identity. Another client’s discomfort is not a reason to deny access to or equal treatment for the transgender person. </w:t>
      </w:r>
      <w:r w:rsidR="00A533B6">
        <w:t>S</w:t>
      </w:r>
      <w:r w:rsidR="00A533B6" w:rsidRPr="00A25054">
        <w:t xml:space="preserve">taff shall work with </w:t>
      </w:r>
      <w:r w:rsidR="00C47B1A">
        <w:t xml:space="preserve">the </w:t>
      </w:r>
      <w:r w:rsidR="00A533B6" w:rsidRPr="00A25054">
        <w:t xml:space="preserve">clients </w:t>
      </w:r>
      <w:r w:rsidR="00C47B1A">
        <w:t>expressing</w:t>
      </w:r>
      <w:r w:rsidR="00A533B6" w:rsidRPr="00A25054">
        <w:t xml:space="preserve"> discomfort to foster understanding of gender identity for the purpose of creating a</w:t>
      </w:r>
      <w:r w:rsidR="00A533B6">
        <w:t>n</w:t>
      </w:r>
      <w:r w:rsidR="00A533B6" w:rsidRPr="00A25054">
        <w:t xml:space="preserve"> environment that respects and values all clients.  </w:t>
      </w:r>
    </w:p>
    <w:p w14:paraId="0ADE52B0" w14:textId="77777777" w:rsidR="002735B2" w:rsidRDefault="002735B2" w:rsidP="00C53C19">
      <w:pPr>
        <w:spacing w:line="276" w:lineRule="auto"/>
      </w:pPr>
    </w:p>
    <w:p w14:paraId="1B2F813A" w14:textId="34EC8945" w:rsidR="00AF536F" w:rsidRDefault="00270FAA" w:rsidP="00C709F6">
      <w:pPr>
        <w:spacing w:line="276" w:lineRule="auto"/>
      </w:pPr>
      <w:r>
        <w:t>[</w:t>
      </w:r>
      <w:r w:rsidRPr="00FF2C2B">
        <w:rPr>
          <w:highlight w:val="yellow"/>
        </w:rPr>
        <w:t>Agency</w:t>
      </w:r>
      <w:r>
        <w:t xml:space="preserve">] </w:t>
      </w:r>
      <w:proofErr w:type="gramStart"/>
      <w:r>
        <w:t>is able to</w:t>
      </w:r>
      <w:proofErr w:type="gramEnd"/>
      <w:r>
        <w:t xml:space="preserve"> offer the following r</w:t>
      </w:r>
      <w:r w:rsidR="00A25054" w:rsidRPr="00A25054">
        <w:t xml:space="preserve">easonable accommodations </w:t>
      </w:r>
      <w:r>
        <w:t>to anyone who expresses a need for them</w:t>
      </w:r>
      <w:r w:rsidR="00C709F6">
        <w:t xml:space="preserve"> [</w:t>
      </w:r>
      <w:r w:rsidR="00C709F6" w:rsidRPr="00AF536F">
        <w:rPr>
          <w:highlight w:val="yellow"/>
        </w:rPr>
        <w:t>Modify the list below based on what your agency is able to offer</w:t>
      </w:r>
      <w:r w:rsidR="00C709F6">
        <w:t>]</w:t>
      </w:r>
      <w:r w:rsidR="00A25054" w:rsidRPr="00A25054">
        <w:t xml:space="preserve">: </w:t>
      </w:r>
    </w:p>
    <w:p w14:paraId="6D3195BD" w14:textId="27145A73" w:rsidR="005153B2" w:rsidRPr="005153B2" w:rsidRDefault="005153B2" w:rsidP="005153B2">
      <w:pPr>
        <w:numPr>
          <w:ilvl w:val="0"/>
          <w:numId w:val="18"/>
        </w:numPr>
        <w:spacing w:line="276" w:lineRule="auto"/>
        <w:rPr>
          <w:rFonts w:asciiTheme="minorHAnsi" w:eastAsiaTheme="minorHAnsi" w:hAnsiTheme="minorHAnsi" w:cstheme="minorBidi"/>
        </w:rPr>
      </w:pPr>
      <w:r w:rsidRPr="005153B2">
        <w:rPr>
          <w:rFonts w:asciiTheme="minorHAnsi" w:eastAsiaTheme="minorHAnsi" w:hAnsiTheme="minorHAnsi" w:cstheme="minorBidi"/>
        </w:rPr>
        <w:t>Separate single-use toilets or showers (lockable bathroom)</w:t>
      </w:r>
    </w:p>
    <w:p w14:paraId="1DFB0F12" w14:textId="26788D36" w:rsidR="005153B2" w:rsidRPr="005153B2" w:rsidRDefault="005153B2" w:rsidP="005153B2">
      <w:pPr>
        <w:numPr>
          <w:ilvl w:val="0"/>
          <w:numId w:val="18"/>
        </w:numPr>
        <w:spacing w:line="276" w:lineRule="auto"/>
        <w:rPr>
          <w:rFonts w:asciiTheme="minorHAnsi" w:eastAsiaTheme="minorHAnsi" w:hAnsiTheme="minorHAnsi" w:cstheme="minorBidi"/>
        </w:rPr>
      </w:pPr>
      <w:r w:rsidRPr="005153B2">
        <w:rPr>
          <w:rFonts w:asciiTheme="minorHAnsi" w:eastAsiaTheme="minorHAnsi" w:hAnsiTheme="minorHAnsi" w:cstheme="minorBidi"/>
        </w:rPr>
        <w:t>Alternate bathroom or shower times (</w:t>
      </w:r>
      <w:r w:rsidR="00FA6245">
        <w:rPr>
          <w:rFonts w:asciiTheme="minorHAnsi" w:eastAsiaTheme="minorHAnsi" w:hAnsiTheme="minorHAnsi" w:cstheme="minorBidi"/>
        </w:rPr>
        <w:t xml:space="preserve">regularly </w:t>
      </w:r>
      <w:r w:rsidRPr="005153B2">
        <w:rPr>
          <w:rFonts w:asciiTheme="minorHAnsi" w:eastAsiaTheme="minorHAnsi" w:hAnsiTheme="minorHAnsi" w:cstheme="minorBidi"/>
        </w:rPr>
        <w:t>scheduled and one-off</w:t>
      </w:r>
      <w:r w:rsidR="00FA6245">
        <w:rPr>
          <w:rFonts w:asciiTheme="minorHAnsi" w:eastAsiaTheme="minorHAnsi" w:hAnsiTheme="minorHAnsi" w:cstheme="minorBidi"/>
        </w:rPr>
        <w:t xml:space="preserve"> requests)</w:t>
      </w:r>
    </w:p>
    <w:p w14:paraId="437DE9B9" w14:textId="77777777" w:rsidR="005153B2" w:rsidRPr="005153B2" w:rsidRDefault="005153B2" w:rsidP="005153B2">
      <w:pPr>
        <w:numPr>
          <w:ilvl w:val="0"/>
          <w:numId w:val="18"/>
        </w:numPr>
        <w:spacing w:line="276" w:lineRule="auto"/>
        <w:rPr>
          <w:rFonts w:asciiTheme="minorHAnsi" w:eastAsiaTheme="minorHAnsi" w:hAnsiTheme="minorHAnsi" w:cstheme="minorBidi"/>
        </w:rPr>
      </w:pPr>
      <w:r w:rsidRPr="005153B2">
        <w:rPr>
          <w:rFonts w:asciiTheme="minorHAnsi" w:eastAsiaTheme="minorHAnsi" w:hAnsiTheme="minorHAnsi" w:cstheme="minorBidi"/>
        </w:rPr>
        <w:t>Provision of hotel/motel voucher as alternative to onsite sleeping</w:t>
      </w:r>
    </w:p>
    <w:p w14:paraId="507C4349" w14:textId="77777777" w:rsidR="005153B2" w:rsidRPr="005153B2" w:rsidRDefault="005153B2" w:rsidP="005153B2">
      <w:pPr>
        <w:numPr>
          <w:ilvl w:val="0"/>
          <w:numId w:val="18"/>
        </w:numPr>
        <w:spacing w:line="276" w:lineRule="auto"/>
        <w:rPr>
          <w:rFonts w:asciiTheme="minorHAnsi" w:eastAsiaTheme="minorHAnsi" w:hAnsiTheme="minorHAnsi" w:cstheme="minorBidi"/>
        </w:rPr>
      </w:pPr>
      <w:r w:rsidRPr="005153B2">
        <w:rPr>
          <w:rFonts w:asciiTheme="minorHAnsi" w:eastAsiaTheme="minorHAnsi" w:hAnsiTheme="minorHAnsi" w:cstheme="minorBidi"/>
        </w:rPr>
        <w:t>Set-aside onsite sleeping, e.g., private rooms, private-</w:t>
      </w:r>
      <w:proofErr w:type="spellStart"/>
      <w:r w:rsidRPr="005153B2">
        <w:rPr>
          <w:rFonts w:asciiTheme="minorHAnsi" w:eastAsiaTheme="minorHAnsi" w:hAnsiTheme="minorHAnsi" w:cstheme="minorBidi"/>
        </w:rPr>
        <w:t>ish</w:t>
      </w:r>
      <w:proofErr w:type="spellEnd"/>
      <w:r w:rsidRPr="005153B2">
        <w:rPr>
          <w:rFonts w:asciiTheme="minorHAnsi" w:eastAsiaTheme="minorHAnsi" w:hAnsiTheme="minorHAnsi" w:cstheme="minorBidi"/>
        </w:rPr>
        <w:t xml:space="preserve"> beds, set of more private rooms, or rooms with multiple beds for clients with higher </w:t>
      </w:r>
      <w:proofErr w:type="gramStart"/>
      <w:r w:rsidRPr="005153B2">
        <w:rPr>
          <w:rFonts w:asciiTheme="minorHAnsi" w:eastAsiaTheme="minorHAnsi" w:hAnsiTheme="minorHAnsi" w:cstheme="minorBidi"/>
        </w:rPr>
        <w:t>vulnerabilities</w:t>
      </w:r>
      <w:proofErr w:type="gramEnd"/>
      <w:r w:rsidRPr="005153B2">
        <w:rPr>
          <w:rFonts w:asciiTheme="minorHAnsi" w:eastAsiaTheme="minorHAnsi" w:hAnsiTheme="minorHAnsi" w:cstheme="minorBidi"/>
        </w:rPr>
        <w:t xml:space="preserve"> </w:t>
      </w:r>
    </w:p>
    <w:p w14:paraId="370288F1" w14:textId="4A2E22A2" w:rsidR="00DF4170" w:rsidRPr="00FA6245" w:rsidRDefault="005153B2" w:rsidP="00FA6245">
      <w:pPr>
        <w:pStyle w:val="ListParagraph"/>
        <w:numPr>
          <w:ilvl w:val="0"/>
          <w:numId w:val="18"/>
        </w:numPr>
        <w:spacing w:line="276" w:lineRule="auto"/>
        <w:rPr>
          <w:rFonts w:asciiTheme="minorHAnsi" w:eastAsiaTheme="minorHAnsi" w:hAnsiTheme="minorHAnsi" w:cstheme="minorBidi"/>
        </w:rPr>
      </w:pPr>
      <w:r w:rsidRPr="00FA6245">
        <w:rPr>
          <w:rFonts w:asciiTheme="minorHAnsi" w:eastAsiaTheme="minorHAnsi" w:hAnsiTheme="minorHAnsi" w:cstheme="minorBidi"/>
        </w:rPr>
        <w:t>Availability of beds close to night staff</w:t>
      </w:r>
    </w:p>
    <w:p w14:paraId="6FB384AA" w14:textId="77777777" w:rsidR="00FA6245" w:rsidRDefault="00FA6245" w:rsidP="005153B2">
      <w:pPr>
        <w:spacing w:line="276" w:lineRule="auto"/>
      </w:pPr>
    </w:p>
    <w:p w14:paraId="559144EA" w14:textId="3C72C773" w:rsidR="00A25054" w:rsidRDefault="00A25054" w:rsidP="00C53C19">
      <w:pPr>
        <w:pStyle w:val="Heading3"/>
        <w:spacing w:line="276" w:lineRule="auto"/>
      </w:pPr>
      <w:r w:rsidRPr="00A25054">
        <w:t xml:space="preserve">Dress Code </w:t>
      </w:r>
    </w:p>
    <w:p w14:paraId="464B31B2" w14:textId="5B50980D" w:rsidR="00A25054" w:rsidRDefault="00A25054" w:rsidP="00C53C19">
      <w:pPr>
        <w:spacing w:line="276" w:lineRule="auto"/>
      </w:pPr>
      <w:r w:rsidRPr="00A25054">
        <w:t>No additional dress code restrictions shall be placed on transgender clients outside of what is asked of all clients. [</w:t>
      </w:r>
      <w:r w:rsidRPr="006D4A65">
        <w:rPr>
          <w:highlight w:val="yellow"/>
        </w:rPr>
        <w:t xml:space="preserve">If a dress code is deemed necessary by </w:t>
      </w:r>
      <w:r w:rsidR="00174F96" w:rsidRPr="006D4A65">
        <w:rPr>
          <w:highlight w:val="yellow"/>
        </w:rPr>
        <w:t>[</w:t>
      </w:r>
      <w:r w:rsidRPr="006D4A65">
        <w:rPr>
          <w:highlight w:val="yellow"/>
        </w:rPr>
        <w:t>Agency</w:t>
      </w:r>
      <w:r w:rsidR="00174F96" w:rsidRPr="006D4A65">
        <w:rPr>
          <w:highlight w:val="yellow"/>
        </w:rPr>
        <w:t>]</w:t>
      </w:r>
      <w:r w:rsidRPr="006D4A65">
        <w:rPr>
          <w:highlight w:val="yellow"/>
        </w:rPr>
        <w:t>, it should be gender</w:t>
      </w:r>
      <w:r w:rsidR="009543E9" w:rsidRPr="006D4A65">
        <w:rPr>
          <w:highlight w:val="yellow"/>
        </w:rPr>
        <w:t xml:space="preserve"> </w:t>
      </w:r>
      <w:r w:rsidRPr="006D4A65">
        <w:rPr>
          <w:highlight w:val="yellow"/>
        </w:rPr>
        <w:t xml:space="preserve">neutral. If there are gendered dress codes, transgender clients should comply with the dress code associated with their gender identity; gender nonconforming clients </w:t>
      </w:r>
      <w:r w:rsidR="006475BA" w:rsidRPr="006D4A65">
        <w:rPr>
          <w:highlight w:val="yellow"/>
        </w:rPr>
        <w:t>are</w:t>
      </w:r>
      <w:r w:rsidRPr="006D4A65">
        <w:rPr>
          <w:highlight w:val="yellow"/>
        </w:rPr>
        <w:t xml:space="preserve"> allow</w:t>
      </w:r>
      <w:r w:rsidR="006475BA" w:rsidRPr="006D4A65">
        <w:rPr>
          <w:highlight w:val="yellow"/>
        </w:rPr>
        <w:t>ed</w:t>
      </w:r>
      <w:r w:rsidRPr="006D4A65">
        <w:rPr>
          <w:highlight w:val="yellow"/>
        </w:rPr>
        <w:t xml:space="preserve"> to choose the dress code with which they feel most comfortable</w:t>
      </w:r>
      <w:r w:rsidRPr="00A25054">
        <w:t xml:space="preserve">.] </w:t>
      </w:r>
    </w:p>
    <w:p w14:paraId="1C1190F5" w14:textId="77777777" w:rsidR="00A25054" w:rsidRDefault="00A25054" w:rsidP="00C53C19">
      <w:pPr>
        <w:spacing w:line="276" w:lineRule="auto"/>
      </w:pPr>
    </w:p>
    <w:p w14:paraId="0DAC3A2A" w14:textId="30CB7FE8" w:rsidR="007540D8" w:rsidRDefault="007540D8" w:rsidP="00C53C19">
      <w:pPr>
        <w:pStyle w:val="Heading3"/>
        <w:spacing w:line="276" w:lineRule="auto"/>
      </w:pPr>
      <w:r>
        <w:t>Medications</w:t>
      </w:r>
    </w:p>
    <w:p w14:paraId="2EC1FA26" w14:textId="77777777" w:rsidR="006D1279" w:rsidRPr="006D1279" w:rsidRDefault="006D1279" w:rsidP="006D1279">
      <w:pPr>
        <w:spacing w:line="276" w:lineRule="auto"/>
      </w:pPr>
      <w:r w:rsidRPr="006D1279">
        <w:t xml:space="preserve">Staff, </w:t>
      </w:r>
      <w:proofErr w:type="gramStart"/>
      <w:r w:rsidRPr="006D1279">
        <w:t>volunteers</w:t>
      </w:r>
      <w:proofErr w:type="gramEnd"/>
      <w:r w:rsidRPr="006D1279">
        <w:t xml:space="preserve"> and contractors must apply policies on medications to ALL clients equitably, without bias toward gender affirming medications. </w:t>
      </w:r>
    </w:p>
    <w:p w14:paraId="4A6E9B9A" w14:textId="77777777" w:rsidR="007540D8" w:rsidRDefault="007540D8" w:rsidP="00C53C19">
      <w:pPr>
        <w:spacing w:line="276" w:lineRule="auto"/>
      </w:pPr>
    </w:p>
    <w:p w14:paraId="7A309C35" w14:textId="143FB955" w:rsidR="00677467" w:rsidRDefault="00CD0FCD" w:rsidP="00C53C19">
      <w:pPr>
        <w:pStyle w:val="Heading3"/>
        <w:spacing w:line="276" w:lineRule="auto"/>
      </w:pPr>
      <w:r>
        <w:t xml:space="preserve">Healthcare </w:t>
      </w:r>
      <w:r w:rsidR="00677467" w:rsidRPr="00A25054">
        <w:t xml:space="preserve">and Reproductive Health </w:t>
      </w:r>
    </w:p>
    <w:p w14:paraId="36851418" w14:textId="77777777" w:rsidR="002B4C86" w:rsidRPr="002B4C86" w:rsidRDefault="002B4C86" w:rsidP="002B4C86">
      <w:pPr>
        <w:spacing w:after="240" w:line="276" w:lineRule="auto"/>
      </w:pPr>
      <w:r w:rsidRPr="002B4C86">
        <w:t>Transgender and gender expansive clients may avoid seeking out healthcare due to past mistreatment or fear of mistreatment. As our agency policy, we affirm the need for quality healthcare and attempt to connect our clients to responsive healthcare providers.</w:t>
      </w:r>
    </w:p>
    <w:p w14:paraId="2A60A4CD" w14:textId="77777777" w:rsidR="002B4C86" w:rsidRPr="002B4C86" w:rsidRDefault="002B4C86" w:rsidP="002B4C86">
      <w:pPr>
        <w:pStyle w:val="ListParagraph"/>
        <w:numPr>
          <w:ilvl w:val="0"/>
          <w:numId w:val="20"/>
        </w:numPr>
        <w:spacing w:before="120" w:after="240" w:line="276" w:lineRule="auto"/>
      </w:pPr>
      <w:r w:rsidRPr="002B4C86">
        <w:t xml:space="preserve">Staff, </w:t>
      </w:r>
      <w:proofErr w:type="gramStart"/>
      <w:r w:rsidRPr="002B4C86">
        <w:t>volunteers</w:t>
      </w:r>
      <w:proofErr w:type="gramEnd"/>
      <w:r w:rsidRPr="002B4C86">
        <w:t xml:space="preserve"> and contractors shall refrain from making assumptions about patients' contraceptive plans, sexual orientation and gender identity and expression. </w:t>
      </w:r>
    </w:p>
    <w:p w14:paraId="589F1C45" w14:textId="77777777" w:rsidR="002B4C86" w:rsidRPr="002B4C86" w:rsidRDefault="002B4C86" w:rsidP="002B4C86">
      <w:pPr>
        <w:pStyle w:val="ListParagraph"/>
        <w:numPr>
          <w:ilvl w:val="0"/>
          <w:numId w:val="20"/>
        </w:numPr>
        <w:spacing w:before="120" w:after="240" w:line="276" w:lineRule="auto"/>
      </w:pPr>
      <w:r w:rsidRPr="002B4C86">
        <w:t xml:space="preserve">Staff, </w:t>
      </w:r>
      <w:proofErr w:type="gramStart"/>
      <w:r w:rsidRPr="002B4C86">
        <w:t>volunteers</w:t>
      </w:r>
      <w:proofErr w:type="gramEnd"/>
      <w:r w:rsidRPr="002B4C86">
        <w:t xml:space="preserve"> and contractors must offer all clients access to the same variety of reproductive health information and services regardless of client’s appearance or self-reported gender. </w:t>
      </w:r>
    </w:p>
    <w:p w14:paraId="6B0C6E10" w14:textId="77777777" w:rsidR="002B4C86" w:rsidRPr="002B4C86" w:rsidRDefault="002B4C86" w:rsidP="002B4C86">
      <w:pPr>
        <w:pStyle w:val="ListParagraph"/>
        <w:numPr>
          <w:ilvl w:val="0"/>
          <w:numId w:val="20"/>
        </w:numPr>
        <w:spacing w:before="120" w:after="240" w:line="276" w:lineRule="auto"/>
      </w:pPr>
      <w:r w:rsidRPr="002B4C86">
        <w:t xml:space="preserve">Staff, </w:t>
      </w:r>
      <w:proofErr w:type="gramStart"/>
      <w:r w:rsidRPr="002B4C86">
        <w:t>volunteers</w:t>
      </w:r>
      <w:proofErr w:type="gramEnd"/>
      <w:r w:rsidRPr="002B4C86">
        <w:t xml:space="preserve"> and contractors may NOT offer sex-specific reproductive health information based on assumptions about a client’s reproductive status. </w:t>
      </w:r>
    </w:p>
    <w:p w14:paraId="69E7BC53" w14:textId="77777777" w:rsidR="00677467" w:rsidRDefault="00677467" w:rsidP="00C53C19">
      <w:pPr>
        <w:spacing w:line="276" w:lineRule="auto"/>
      </w:pPr>
    </w:p>
    <w:p w14:paraId="4455E1EE" w14:textId="67119EE6" w:rsidR="00A25054" w:rsidRDefault="00A25054" w:rsidP="00C53C19">
      <w:pPr>
        <w:pStyle w:val="Heading3"/>
        <w:spacing w:line="276" w:lineRule="auto"/>
      </w:pPr>
      <w:r w:rsidRPr="00A25054">
        <w:lastRenderedPageBreak/>
        <w:t xml:space="preserve">Harassment </w:t>
      </w:r>
      <w:r w:rsidR="00302569">
        <w:t>and Discrimination</w:t>
      </w:r>
    </w:p>
    <w:p w14:paraId="1E7C746D" w14:textId="18BF22F5" w:rsidR="00757EF5" w:rsidRPr="00757EF5" w:rsidRDefault="00965289" w:rsidP="00757EF5">
      <w:pPr>
        <w:spacing w:line="276" w:lineRule="auto"/>
      </w:pPr>
      <w:r w:rsidRPr="00757EF5">
        <w:t>[</w:t>
      </w:r>
      <w:r w:rsidRPr="00757EF5">
        <w:rPr>
          <w:highlight w:val="yellow"/>
        </w:rPr>
        <w:t>Agency</w:t>
      </w:r>
      <w:r w:rsidRPr="00757EF5">
        <w:t xml:space="preserve">] </w:t>
      </w:r>
      <w:r w:rsidR="00757EF5" w:rsidRPr="00757EF5">
        <w:t xml:space="preserve">does not tolerate verbal, physical, or any other kind of harassment. Discriminatory and prejudice-motivated comments or other hostile behavior are NOT tolerated from staff, volunteers, contractors, or clients. </w:t>
      </w:r>
    </w:p>
    <w:p w14:paraId="278B419B" w14:textId="77777777" w:rsidR="00757EF5" w:rsidRPr="00757EF5" w:rsidRDefault="00757EF5" w:rsidP="00757EF5">
      <w:pPr>
        <w:spacing w:line="276" w:lineRule="auto"/>
      </w:pPr>
      <w:r w:rsidRPr="00757EF5">
        <w:rPr>
          <w:b/>
          <w:bCs/>
        </w:rPr>
        <w:t> </w:t>
      </w:r>
    </w:p>
    <w:p w14:paraId="2460A024" w14:textId="77777777" w:rsidR="00757EF5" w:rsidRDefault="00757EF5" w:rsidP="00757EF5">
      <w:pPr>
        <w:spacing w:line="276" w:lineRule="auto"/>
      </w:pPr>
      <w:r w:rsidRPr="00757EF5">
        <w:t xml:space="preserve">Incidents of harassment shall be reported to a staff member immediately. Staff shall take immediate action to ensure the safety of the client experiencing harassment, including rule enforcement, 1:1 expectation setting with the harassing individual, and documenting the incident in writing. </w:t>
      </w:r>
    </w:p>
    <w:p w14:paraId="3992F903" w14:textId="77777777" w:rsidR="00757EF5" w:rsidRPr="00757EF5" w:rsidRDefault="00757EF5" w:rsidP="00757EF5">
      <w:pPr>
        <w:spacing w:line="276" w:lineRule="auto"/>
      </w:pPr>
    </w:p>
    <w:p w14:paraId="29EC4DD6" w14:textId="77777777" w:rsidR="00757EF5" w:rsidRPr="00757EF5" w:rsidRDefault="00757EF5" w:rsidP="00757EF5">
      <w:pPr>
        <w:spacing w:line="276" w:lineRule="auto"/>
      </w:pPr>
      <w:r w:rsidRPr="00757EF5">
        <w:t xml:space="preserve">If harassment is committed by a staff, volunteer or contractor, witnesses shall report the incident to the appropriate supervisor(s) as soon as possible.  Supervisor(s) shall take immediate action to ensure the safety of the client and document the incident in writing.  </w:t>
      </w:r>
    </w:p>
    <w:p w14:paraId="6972CC87" w14:textId="77777777" w:rsidR="00757EF5" w:rsidRPr="00757EF5" w:rsidRDefault="00757EF5" w:rsidP="00757EF5">
      <w:pPr>
        <w:spacing w:line="276" w:lineRule="auto"/>
      </w:pPr>
      <w:r w:rsidRPr="00757EF5">
        <w:rPr>
          <w:b/>
          <w:bCs/>
        </w:rPr>
        <w:t> </w:t>
      </w:r>
    </w:p>
    <w:p w14:paraId="741D4350" w14:textId="77777777" w:rsidR="00757EF5" w:rsidRPr="00757EF5" w:rsidRDefault="00757EF5" w:rsidP="00757EF5">
      <w:pPr>
        <w:spacing w:line="276" w:lineRule="auto"/>
      </w:pPr>
      <w:r w:rsidRPr="00757EF5">
        <w:t xml:space="preserve">Any staff, contractor, or volunteer refusal to work with a client due to the client’s characteristics or demographics, e.g. sex, transgender status, gender identity, gender expression, sexual orientation, marital </w:t>
      </w:r>
      <w:proofErr w:type="gramStart"/>
      <w:r w:rsidRPr="00757EF5">
        <w:t>status</w:t>
      </w:r>
      <w:proofErr w:type="gramEnd"/>
      <w:r w:rsidRPr="00757EF5">
        <w:t xml:space="preserve"> or civil union status shall result in disciplinary action. </w:t>
      </w:r>
    </w:p>
    <w:p w14:paraId="3CFDD88D" w14:textId="21AC3FF6" w:rsidR="007D3116" w:rsidRDefault="007D3116" w:rsidP="00757EF5">
      <w:pPr>
        <w:spacing w:line="276" w:lineRule="auto"/>
      </w:pPr>
    </w:p>
    <w:p w14:paraId="4E47BCF6" w14:textId="77777777" w:rsidR="002B5BB2" w:rsidRPr="002B5BB2" w:rsidRDefault="00382917" w:rsidP="002B5BB2">
      <w:pPr>
        <w:spacing w:line="276" w:lineRule="auto"/>
      </w:pPr>
      <w:r>
        <w:t>[</w:t>
      </w:r>
      <w:r w:rsidRPr="002B5BB2">
        <w:rPr>
          <w:highlight w:val="yellow"/>
        </w:rPr>
        <w:t>Agency</w:t>
      </w:r>
      <w:r>
        <w:t>] shall maintain a visible posted copy of HUD’s LGBTQ flyer</w:t>
      </w:r>
      <w:r w:rsidR="002B5BB2">
        <w:t xml:space="preserve">, found at </w:t>
      </w:r>
      <w:hyperlink r:id="rId9" w:history="1">
        <w:r w:rsidR="002B5BB2" w:rsidRPr="002B5BB2">
          <w:rPr>
            <w:rStyle w:val="Hyperlink"/>
          </w:rPr>
          <w:t>https://</w:t>
        </w:r>
      </w:hyperlink>
      <w:hyperlink r:id="rId10" w:history="1">
        <w:r w:rsidR="002B5BB2" w:rsidRPr="002B5BB2">
          <w:rPr>
            <w:rStyle w:val="Hyperlink"/>
          </w:rPr>
          <w:t>www.hud.gov</w:t>
        </w:r>
      </w:hyperlink>
      <w:hyperlink r:id="rId11" w:history="1">
        <w:r w:rsidR="002B5BB2" w:rsidRPr="002B5BB2">
          <w:rPr>
            <w:rStyle w:val="Hyperlink"/>
          </w:rPr>
          <w:t>/sites/documents/LGBTFLYER.PDF</w:t>
        </w:r>
      </w:hyperlink>
    </w:p>
    <w:p w14:paraId="16B57F7A" w14:textId="030573DC" w:rsidR="002B5BB2" w:rsidRDefault="002B5BB2" w:rsidP="00757EF5">
      <w:pPr>
        <w:spacing w:line="276" w:lineRule="auto"/>
      </w:pPr>
    </w:p>
    <w:p w14:paraId="40F8CBBF" w14:textId="77777777" w:rsidR="002D5641" w:rsidRDefault="002D5641" w:rsidP="00C53C19">
      <w:pPr>
        <w:pStyle w:val="Heading2"/>
        <w:spacing w:line="276" w:lineRule="auto"/>
      </w:pPr>
      <w:r w:rsidRPr="00A25054">
        <w:t xml:space="preserve">Involuntary Family Separation Policy  </w:t>
      </w:r>
    </w:p>
    <w:p w14:paraId="552C159A" w14:textId="55EFDA73" w:rsidR="002D5641" w:rsidRDefault="002D5641" w:rsidP="00C53C19">
      <w:pPr>
        <w:spacing w:line="276" w:lineRule="auto"/>
      </w:pPr>
      <w:r w:rsidRPr="00A25054">
        <w:t>In accordance with HUD’s CoC and ESG program regulations</w:t>
      </w:r>
      <w:r w:rsidR="00FC164C">
        <w:t xml:space="preserve"> and </w:t>
      </w:r>
      <w:r w:rsidR="009B061C">
        <w:t>[</w:t>
      </w:r>
      <w:r w:rsidR="009B061C" w:rsidRPr="009B061C">
        <w:rPr>
          <w:highlight w:val="yellow"/>
        </w:rPr>
        <w:t>fill in</w:t>
      </w:r>
      <w:r w:rsidR="009B061C">
        <w:t>] CoC policy</w:t>
      </w:r>
      <w:r w:rsidRPr="00A25054">
        <w:t xml:space="preserve">, involuntary family separation is prohibited in </w:t>
      </w:r>
      <w:r w:rsidR="00FC164C">
        <w:t>all projects administered by [</w:t>
      </w:r>
      <w:r w:rsidR="00FC164C" w:rsidRPr="00FC164C">
        <w:rPr>
          <w:highlight w:val="yellow"/>
        </w:rPr>
        <w:t>Agency</w:t>
      </w:r>
      <w:r w:rsidR="009B061C">
        <w:t>], including but not limited to the following</w:t>
      </w:r>
      <w:r w:rsidR="003564E6">
        <w:t>:</w:t>
      </w:r>
      <w:r w:rsidR="009B061C">
        <w:t xml:space="preserve"> </w:t>
      </w:r>
    </w:p>
    <w:p w14:paraId="666BD9AF" w14:textId="4E50EF22" w:rsidR="002D5641" w:rsidRDefault="002D5641" w:rsidP="00C53C19">
      <w:pPr>
        <w:pStyle w:val="ListParagraph"/>
        <w:numPr>
          <w:ilvl w:val="0"/>
          <w:numId w:val="7"/>
        </w:numPr>
        <w:spacing w:line="276" w:lineRule="auto"/>
      </w:pPr>
      <w:r w:rsidRPr="00A25054">
        <w:t xml:space="preserve">The age or gender of a child </w:t>
      </w:r>
      <w:proofErr w:type="gramStart"/>
      <w:r w:rsidRPr="00A25054">
        <w:t>under age</w:t>
      </w:r>
      <w:proofErr w:type="gramEnd"/>
      <w:r w:rsidRPr="00A25054">
        <w:t xml:space="preserve"> 18; </w:t>
      </w:r>
    </w:p>
    <w:p w14:paraId="397E1417" w14:textId="11F2C412" w:rsidR="002D5641" w:rsidRDefault="002D5641" w:rsidP="00C53C19">
      <w:pPr>
        <w:pStyle w:val="ListParagraph"/>
        <w:numPr>
          <w:ilvl w:val="0"/>
          <w:numId w:val="7"/>
        </w:numPr>
        <w:spacing w:line="276" w:lineRule="auto"/>
      </w:pPr>
      <w:r w:rsidRPr="00A25054">
        <w:t xml:space="preserve">The gender of a parent or </w:t>
      </w:r>
      <w:proofErr w:type="gramStart"/>
      <w:r w:rsidRPr="00A25054">
        <w:t>parents;</w:t>
      </w:r>
      <w:proofErr w:type="gramEnd"/>
      <w:r w:rsidRPr="00A25054">
        <w:t xml:space="preserve"> </w:t>
      </w:r>
    </w:p>
    <w:p w14:paraId="23AD3455" w14:textId="4B33A243" w:rsidR="002D5641" w:rsidRDefault="002D5641" w:rsidP="00C53C19">
      <w:pPr>
        <w:pStyle w:val="ListParagraph"/>
        <w:numPr>
          <w:ilvl w:val="0"/>
          <w:numId w:val="7"/>
        </w:numPr>
        <w:spacing w:line="276" w:lineRule="auto"/>
      </w:pPr>
      <w:r w:rsidRPr="00A25054">
        <w:t xml:space="preserve">The marital status of a parent or parents.  </w:t>
      </w:r>
    </w:p>
    <w:p w14:paraId="067F1D3D" w14:textId="77777777" w:rsidR="002D5641" w:rsidRDefault="002D5641" w:rsidP="00C53C19">
      <w:pPr>
        <w:spacing w:line="276" w:lineRule="auto"/>
      </w:pPr>
    </w:p>
    <w:p w14:paraId="559C1B7E" w14:textId="77777777" w:rsidR="00A25054" w:rsidRDefault="00A25054" w:rsidP="00C53C19">
      <w:pPr>
        <w:pStyle w:val="Heading2"/>
        <w:spacing w:line="276" w:lineRule="auto"/>
      </w:pPr>
      <w:r w:rsidRPr="00A25054">
        <w:t xml:space="preserve">Posting and Distribution of Policies </w:t>
      </w:r>
    </w:p>
    <w:p w14:paraId="25F78B08" w14:textId="77777777" w:rsidR="006E52AB" w:rsidRDefault="00A25054" w:rsidP="006E52AB">
      <w:pPr>
        <w:pStyle w:val="ListParagraph"/>
        <w:numPr>
          <w:ilvl w:val="0"/>
          <w:numId w:val="21"/>
        </w:numPr>
        <w:spacing w:line="276" w:lineRule="auto"/>
      </w:pPr>
      <w:r w:rsidRPr="00A25054">
        <w:t>Anti-discrimination policies shall be publicly posted</w:t>
      </w:r>
      <w:r w:rsidR="006E52AB">
        <w:t xml:space="preserve"> in the form of a HUD poster or the agency’s actual policies. </w:t>
      </w:r>
    </w:p>
    <w:p w14:paraId="6C29FA72" w14:textId="773E7082" w:rsidR="006E52AB" w:rsidRDefault="006E52AB" w:rsidP="00C53C19">
      <w:pPr>
        <w:pStyle w:val="ListParagraph"/>
        <w:numPr>
          <w:ilvl w:val="0"/>
          <w:numId w:val="21"/>
        </w:numPr>
        <w:spacing w:line="276" w:lineRule="auto"/>
      </w:pPr>
      <w:r>
        <w:t>Policies</w:t>
      </w:r>
      <w:r w:rsidR="00A25054" w:rsidRPr="00A25054">
        <w:t xml:space="preserve"> shall be distributed to staff, volunteers, </w:t>
      </w:r>
      <w:r w:rsidR="00CD0FCD">
        <w:t xml:space="preserve">and contractors when they are onboarded. </w:t>
      </w:r>
    </w:p>
    <w:p w14:paraId="682848A6" w14:textId="08E42A4D" w:rsidR="00850A70" w:rsidRDefault="006E52AB" w:rsidP="006E52AB">
      <w:pPr>
        <w:pStyle w:val="ListParagraph"/>
        <w:numPr>
          <w:ilvl w:val="0"/>
          <w:numId w:val="21"/>
        </w:numPr>
        <w:spacing w:line="276" w:lineRule="auto"/>
      </w:pPr>
      <w:r>
        <w:t>C</w:t>
      </w:r>
      <w:r w:rsidR="00A25054" w:rsidRPr="00A25054">
        <w:t>lients</w:t>
      </w:r>
      <w:r>
        <w:t xml:space="preserve"> will be provided with </w:t>
      </w:r>
      <w:r w:rsidR="00F534F5">
        <w:t xml:space="preserve">written </w:t>
      </w:r>
      <w:r w:rsidR="00850A70">
        <w:t>information about their rights and how to exercise them, including:</w:t>
      </w:r>
    </w:p>
    <w:p w14:paraId="10F8AF3C" w14:textId="32489A43" w:rsidR="00E02B58" w:rsidRPr="00E02B58" w:rsidRDefault="00E02B58" w:rsidP="00E02B58">
      <w:pPr>
        <w:pStyle w:val="ListParagraph"/>
        <w:numPr>
          <w:ilvl w:val="1"/>
          <w:numId w:val="21"/>
        </w:numPr>
        <w:spacing w:line="276" w:lineRule="auto"/>
      </w:pPr>
      <w:r>
        <w:t>Right to freedom from</w:t>
      </w:r>
      <w:r w:rsidRPr="00E02B58">
        <w:t xml:space="preserve"> </w:t>
      </w:r>
      <w:r>
        <w:t xml:space="preserve">harassment and </w:t>
      </w:r>
      <w:r w:rsidRPr="00E02B58">
        <w:t>discrimination</w:t>
      </w:r>
      <w:r w:rsidR="00F534F5">
        <w:t xml:space="preserve"> (and how to file a complaint with local, state, and federal government)</w:t>
      </w:r>
    </w:p>
    <w:p w14:paraId="2F67483F" w14:textId="07010588" w:rsidR="00E02B58" w:rsidRPr="00E02B58" w:rsidRDefault="00E02B58" w:rsidP="00E02B58">
      <w:pPr>
        <w:pStyle w:val="ListParagraph"/>
        <w:numPr>
          <w:ilvl w:val="1"/>
          <w:numId w:val="21"/>
        </w:numPr>
        <w:spacing w:line="276" w:lineRule="auto"/>
      </w:pPr>
      <w:r>
        <w:t>R</w:t>
      </w:r>
      <w:r w:rsidRPr="00E02B58">
        <w:t>ight to request reasonable accommodations</w:t>
      </w:r>
      <w:r w:rsidR="00F534F5">
        <w:t xml:space="preserve"> (and how to request)</w:t>
      </w:r>
    </w:p>
    <w:p w14:paraId="6E1EC20A" w14:textId="34D141E5" w:rsidR="00E02B58" w:rsidRDefault="00E02B58" w:rsidP="00E02B58">
      <w:pPr>
        <w:pStyle w:val="ListParagraph"/>
        <w:numPr>
          <w:ilvl w:val="1"/>
          <w:numId w:val="21"/>
        </w:numPr>
        <w:spacing w:line="276" w:lineRule="auto"/>
      </w:pPr>
      <w:r>
        <w:t xml:space="preserve">Right </w:t>
      </w:r>
      <w:r w:rsidRPr="00E02B58">
        <w:t xml:space="preserve">to </w:t>
      </w:r>
      <w:r>
        <w:t>a timel</w:t>
      </w:r>
      <w:r w:rsidR="00F534F5">
        <w:t>y response for</w:t>
      </w:r>
      <w:r w:rsidRPr="00E02B58">
        <w:t xml:space="preserve"> </w:t>
      </w:r>
      <w:r w:rsidR="00F534F5">
        <w:t>submitted</w:t>
      </w:r>
      <w:r w:rsidRPr="00E02B58">
        <w:t xml:space="preserve"> grievance</w:t>
      </w:r>
      <w:r w:rsidR="00F534F5">
        <w:t>s (and how to submit)</w:t>
      </w:r>
    </w:p>
    <w:p w14:paraId="51718151" w14:textId="72B7B7BF" w:rsidR="00E02B58" w:rsidRDefault="00AD2B92" w:rsidP="00E02B58">
      <w:pPr>
        <w:pStyle w:val="ListParagraph"/>
        <w:numPr>
          <w:ilvl w:val="1"/>
          <w:numId w:val="21"/>
        </w:numPr>
        <w:spacing w:line="276" w:lineRule="auto"/>
      </w:pPr>
      <w:r>
        <w:lastRenderedPageBreak/>
        <w:t>Right to control your data, including the agency’s privacy policy, description of who sees the data routinely, who may request to see the data</w:t>
      </w:r>
      <w:r w:rsidR="00240387">
        <w:t xml:space="preserve">. </w:t>
      </w:r>
    </w:p>
    <w:p w14:paraId="64E25CD7" w14:textId="493809D0" w:rsidR="00E02B58" w:rsidRDefault="00240387" w:rsidP="00E02B58">
      <w:pPr>
        <w:pStyle w:val="ListParagraph"/>
        <w:numPr>
          <w:ilvl w:val="1"/>
          <w:numId w:val="21"/>
        </w:numPr>
        <w:spacing w:line="276" w:lineRule="auto"/>
      </w:pPr>
      <w:r>
        <w:t>Copy of their Release of Information form</w:t>
      </w:r>
    </w:p>
    <w:p w14:paraId="1805C5DD" w14:textId="13741BC0" w:rsidR="00E02B58" w:rsidRDefault="00240387" w:rsidP="00E02B58">
      <w:pPr>
        <w:pStyle w:val="ListParagraph"/>
        <w:numPr>
          <w:ilvl w:val="1"/>
          <w:numId w:val="21"/>
        </w:numPr>
        <w:spacing w:line="276" w:lineRule="auto"/>
      </w:pPr>
      <w:r>
        <w:t>Copy of their Participant Agreement</w:t>
      </w:r>
    </w:p>
    <w:p w14:paraId="4760A10B" w14:textId="29450948" w:rsidR="00A25054" w:rsidRDefault="00240387" w:rsidP="006E52AB">
      <w:pPr>
        <w:pStyle w:val="ListParagraph"/>
        <w:numPr>
          <w:ilvl w:val="0"/>
          <w:numId w:val="21"/>
        </w:numPr>
        <w:spacing w:line="276" w:lineRule="auto"/>
      </w:pPr>
      <w:r>
        <w:t>Hard copies of policies are always available upon request</w:t>
      </w:r>
      <w:r w:rsidR="00A25054" w:rsidRPr="00A25054">
        <w:t xml:space="preserve">. </w:t>
      </w:r>
    </w:p>
    <w:p w14:paraId="7763683E" w14:textId="77777777" w:rsidR="00A25054" w:rsidRDefault="00A25054" w:rsidP="00C53C19">
      <w:pPr>
        <w:spacing w:line="276" w:lineRule="auto"/>
      </w:pPr>
    </w:p>
    <w:p w14:paraId="76692579" w14:textId="77777777" w:rsidR="00A25054" w:rsidRDefault="00A25054" w:rsidP="00C53C19">
      <w:pPr>
        <w:pStyle w:val="Heading2"/>
        <w:spacing w:line="276" w:lineRule="auto"/>
      </w:pPr>
      <w:r w:rsidRPr="00A25054">
        <w:t xml:space="preserve">Questions </w:t>
      </w:r>
    </w:p>
    <w:p w14:paraId="306BD5BA" w14:textId="76E5CF50" w:rsidR="007D3116" w:rsidRDefault="00A25054" w:rsidP="00C53C19">
      <w:pPr>
        <w:spacing w:line="276" w:lineRule="auto"/>
      </w:pPr>
      <w:r w:rsidRPr="00A25054">
        <w:t xml:space="preserve">Questions about this policy should be addressed to your immediate supervisor. If </w:t>
      </w:r>
      <w:r w:rsidR="006B0BE6">
        <w:t>they</w:t>
      </w:r>
      <w:r w:rsidRPr="00A25054">
        <w:t xml:space="preserve"> </w:t>
      </w:r>
      <w:r w:rsidR="006B0BE6">
        <w:t>are</w:t>
      </w:r>
      <w:r w:rsidRPr="00A25054">
        <w:t xml:space="preserve"> not available, contact </w:t>
      </w:r>
      <w:r w:rsidR="006B0BE6">
        <w:t>[</w:t>
      </w:r>
      <w:r w:rsidR="006B0BE6" w:rsidRPr="006B0BE6">
        <w:rPr>
          <w:highlight w:val="yellow"/>
        </w:rPr>
        <w:t>fill in</w:t>
      </w:r>
      <w:r w:rsidR="006B0BE6">
        <w:t>]</w:t>
      </w:r>
      <w:r w:rsidRPr="00A25054">
        <w:t>.</w:t>
      </w:r>
    </w:p>
    <w:sectPr w:rsidR="007D3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95B" w14:textId="77777777" w:rsidR="00B357DA" w:rsidRDefault="00B357DA" w:rsidP="00A25054">
      <w:r>
        <w:separator/>
      </w:r>
    </w:p>
  </w:endnote>
  <w:endnote w:type="continuationSeparator" w:id="0">
    <w:p w14:paraId="375F1F3F" w14:textId="77777777" w:rsidR="00B357DA" w:rsidRDefault="00B357DA" w:rsidP="00A2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9C6B" w14:textId="77777777" w:rsidR="00B357DA" w:rsidRDefault="00B357DA" w:rsidP="00A25054">
      <w:r>
        <w:separator/>
      </w:r>
    </w:p>
  </w:footnote>
  <w:footnote w:type="continuationSeparator" w:id="0">
    <w:p w14:paraId="53DB6235" w14:textId="77777777" w:rsidR="00B357DA" w:rsidRDefault="00B357DA" w:rsidP="00A2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D69"/>
    <w:multiLevelType w:val="hybridMultilevel"/>
    <w:tmpl w:val="E7B0C746"/>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F5849"/>
    <w:multiLevelType w:val="hybridMultilevel"/>
    <w:tmpl w:val="BDD65DC2"/>
    <w:lvl w:ilvl="0" w:tplc="67443C7C">
      <w:start w:val="1"/>
      <w:numFmt w:val="bullet"/>
      <w:lvlText w:val="•"/>
      <w:lvlJc w:val="left"/>
      <w:pPr>
        <w:tabs>
          <w:tab w:val="num" w:pos="720"/>
        </w:tabs>
        <w:ind w:left="720" w:hanging="360"/>
      </w:pPr>
      <w:rPr>
        <w:rFonts w:ascii="Arial" w:hAnsi="Arial" w:hint="default"/>
      </w:rPr>
    </w:lvl>
    <w:lvl w:ilvl="1" w:tplc="B30E912E" w:tentative="1">
      <w:start w:val="1"/>
      <w:numFmt w:val="bullet"/>
      <w:lvlText w:val="•"/>
      <w:lvlJc w:val="left"/>
      <w:pPr>
        <w:tabs>
          <w:tab w:val="num" w:pos="1440"/>
        </w:tabs>
        <w:ind w:left="1440" w:hanging="360"/>
      </w:pPr>
      <w:rPr>
        <w:rFonts w:ascii="Arial" w:hAnsi="Arial" w:hint="default"/>
      </w:rPr>
    </w:lvl>
    <w:lvl w:ilvl="2" w:tplc="0D48BDD0" w:tentative="1">
      <w:start w:val="1"/>
      <w:numFmt w:val="bullet"/>
      <w:lvlText w:val="•"/>
      <w:lvlJc w:val="left"/>
      <w:pPr>
        <w:tabs>
          <w:tab w:val="num" w:pos="2160"/>
        </w:tabs>
        <w:ind w:left="2160" w:hanging="360"/>
      </w:pPr>
      <w:rPr>
        <w:rFonts w:ascii="Arial" w:hAnsi="Arial" w:hint="default"/>
      </w:rPr>
    </w:lvl>
    <w:lvl w:ilvl="3" w:tplc="84402AA2" w:tentative="1">
      <w:start w:val="1"/>
      <w:numFmt w:val="bullet"/>
      <w:lvlText w:val="•"/>
      <w:lvlJc w:val="left"/>
      <w:pPr>
        <w:tabs>
          <w:tab w:val="num" w:pos="2880"/>
        </w:tabs>
        <w:ind w:left="2880" w:hanging="360"/>
      </w:pPr>
      <w:rPr>
        <w:rFonts w:ascii="Arial" w:hAnsi="Arial" w:hint="default"/>
      </w:rPr>
    </w:lvl>
    <w:lvl w:ilvl="4" w:tplc="082AB278" w:tentative="1">
      <w:start w:val="1"/>
      <w:numFmt w:val="bullet"/>
      <w:lvlText w:val="•"/>
      <w:lvlJc w:val="left"/>
      <w:pPr>
        <w:tabs>
          <w:tab w:val="num" w:pos="3600"/>
        </w:tabs>
        <w:ind w:left="3600" w:hanging="360"/>
      </w:pPr>
      <w:rPr>
        <w:rFonts w:ascii="Arial" w:hAnsi="Arial" w:hint="default"/>
      </w:rPr>
    </w:lvl>
    <w:lvl w:ilvl="5" w:tplc="1862CE4C" w:tentative="1">
      <w:start w:val="1"/>
      <w:numFmt w:val="bullet"/>
      <w:lvlText w:val="•"/>
      <w:lvlJc w:val="left"/>
      <w:pPr>
        <w:tabs>
          <w:tab w:val="num" w:pos="4320"/>
        </w:tabs>
        <w:ind w:left="4320" w:hanging="360"/>
      </w:pPr>
      <w:rPr>
        <w:rFonts w:ascii="Arial" w:hAnsi="Arial" w:hint="default"/>
      </w:rPr>
    </w:lvl>
    <w:lvl w:ilvl="6" w:tplc="B1EA0204" w:tentative="1">
      <w:start w:val="1"/>
      <w:numFmt w:val="bullet"/>
      <w:lvlText w:val="•"/>
      <w:lvlJc w:val="left"/>
      <w:pPr>
        <w:tabs>
          <w:tab w:val="num" w:pos="5040"/>
        </w:tabs>
        <w:ind w:left="5040" w:hanging="360"/>
      </w:pPr>
      <w:rPr>
        <w:rFonts w:ascii="Arial" w:hAnsi="Arial" w:hint="default"/>
      </w:rPr>
    </w:lvl>
    <w:lvl w:ilvl="7" w:tplc="BDCE01DA" w:tentative="1">
      <w:start w:val="1"/>
      <w:numFmt w:val="bullet"/>
      <w:lvlText w:val="•"/>
      <w:lvlJc w:val="left"/>
      <w:pPr>
        <w:tabs>
          <w:tab w:val="num" w:pos="5760"/>
        </w:tabs>
        <w:ind w:left="5760" w:hanging="360"/>
      </w:pPr>
      <w:rPr>
        <w:rFonts w:ascii="Arial" w:hAnsi="Arial" w:hint="default"/>
      </w:rPr>
    </w:lvl>
    <w:lvl w:ilvl="8" w:tplc="8B444D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001F46"/>
    <w:multiLevelType w:val="hybridMultilevel"/>
    <w:tmpl w:val="D4B47560"/>
    <w:lvl w:ilvl="0" w:tplc="84541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E035F"/>
    <w:multiLevelType w:val="hybridMultilevel"/>
    <w:tmpl w:val="0A0477DC"/>
    <w:lvl w:ilvl="0" w:tplc="0D140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811B1"/>
    <w:multiLevelType w:val="hybridMultilevel"/>
    <w:tmpl w:val="B04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3792D"/>
    <w:multiLevelType w:val="hybridMultilevel"/>
    <w:tmpl w:val="2B06F2BA"/>
    <w:lvl w:ilvl="0" w:tplc="55AC4082">
      <w:start w:val="1"/>
      <w:numFmt w:val="bullet"/>
      <w:lvlText w:val="•"/>
      <w:lvlJc w:val="left"/>
      <w:pPr>
        <w:tabs>
          <w:tab w:val="num" w:pos="720"/>
        </w:tabs>
        <w:ind w:left="720" w:hanging="360"/>
      </w:pPr>
      <w:rPr>
        <w:rFonts w:ascii="Arial" w:hAnsi="Arial" w:hint="default"/>
      </w:rPr>
    </w:lvl>
    <w:lvl w:ilvl="1" w:tplc="04FA3D2A" w:tentative="1">
      <w:start w:val="1"/>
      <w:numFmt w:val="bullet"/>
      <w:lvlText w:val="•"/>
      <w:lvlJc w:val="left"/>
      <w:pPr>
        <w:tabs>
          <w:tab w:val="num" w:pos="1440"/>
        </w:tabs>
        <w:ind w:left="1440" w:hanging="360"/>
      </w:pPr>
      <w:rPr>
        <w:rFonts w:ascii="Arial" w:hAnsi="Arial" w:hint="default"/>
      </w:rPr>
    </w:lvl>
    <w:lvl w:ilvl="2" w:tplc="CEBEC420" w:tentative="1">
      <w:start w:val="1"/>
      <w:numFmt w:val="bullet"/>
      <w:lvlText w:val="•"/>
      <w:lvlJc w:val="left"/>
      <w:pPr>
        <w:tabs>
          <w:tab w:val="num" w:pos="2160"/>
        </w:tabs>
        <w:ind w:left="2160" w:hanging="360"/>
      </w:pPr>
      <w:rPr>
        <w:rFonts w:ascii="Arial" w:hAnsi="Arial" w:hint="default"/>
      </w:rPr>
    </w:lvl>
    <w:lvl w:ilvl="3" w:tplc="A4FAB884" w:tentative="1">
      <w:start w:val="1"/>
      <w:numFmt w:val="bullet"/>
      <w:lvlText w:val="•"/>
      <w:lvlJc w:val="left"/>
      <w:pPr>
        <w:tabs>
          <w:tab w:val="num" w:pos="2880"/>
        </w:tabs>
        <w:ind w:left="2880" w:hanging="360"/>
      </w:pPr>
      <w:rPr>
        <w:rFonts w:ascii="Arial" w:hAnsi="Arial" w:hint="default"/>
      </w:rPr>
    </w:lvl>
    <w:lvl w:ilvl="4" w:tplc="0F8829DA" w:tentative="1">
      <w:start w:val="1"/>
      <w:numFmt w:val="bullet"/>
      <w:lvlText w:val="•"/>
      <w:lvlJc w:val="left"/>
      <w:pPr>
        <w:tabs>
          <w:tab w:val="num" w:pos="3600"/>
        </w:tabs>
        <w:ind w:left="3600" w:hanging="360"/>
      </w:pPr>
      <w:rPr>
        <w:rFonts w:ascii="Arial" w:hAnsi="Arial" w:hint="default"/>
      </w:rPr>
    </w:lvl>
    <w:lvl w:ilvl="5" w:tplc="ED6E378E" w:tentative="1">
      <w:start w:val="1"/>
      <w:numFmt w:val="bullet"/>
      <w:lvlText w:val="•"/>
      <w:lvlJc w:val="left"/>
      <w:pPr>
        <w:tabs>
          <w:tab w:val="num" w:pos="4320"/>
        </w:tabs>
        <w:ind w:left="4320" w:hanging="360"/>
      </w:pPr>
      <w:rPr>
        <w:rFonts w:ascii="Arial" w:hAnsi="Arial" w:hint="default"/>
      </w:rPr>
    </w:lvl>
    <w:lvl w:ilvl="6" w:tplc="D1CE4214" w:tentative="1">
      <w:start w:val="1"/>
      <w:numFmt w:val="bullet"/>
      <w:lvlText w:val="•"/>
      <w:lvlJc w:val="left"/>
      <w:pPr>
        <w:tabs>
          <w:tab w:val="num" w:pos="5040"/>
        </w:tabs>
        <w:ind w:left="5040" w:hanging="360"/>
      </w:pPr>
      <w:rPr>
        <w:rFonts w:ascii="Arial" w:hAnsi="Arial" w:hint="default"/>
      </w:rPr>
    </w:lvl>
    <w:lvl w:ilvl="7" w:tplc="7B6A2F9A" w:tentative="1">
      <w:start w:val="1"/>
      <w:numFmt w:val="bullet"/>
      <w:lvlText w:val="•"/>
      <w:lvlJc w:val="left"/>
      <w:pPr>
        <w:tabs>
          <w:tab w:val="num" w:pos="5760"/>
        </w:tabs>
        <w:ind w:left="5760" w:hanging="360"/>
      </w:pPr>
      <w:rPr>
        <w:rFonts w:ascii="Arial" w:hAnsi="Arial" w:hint="default"/>
      </w:rPr>
    </w:lvl>
    <w:lvl w:ilvl="8" w:tplc="7E6C65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8D1F47"/>
    <w:multiLevelType w:val="hybridMultilevel"/>
    <w:tmpl w:val="5008A3D4"/>
    <w:lvl w:ilvl="0" w:tplc="67443C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C28F5"/>
    <w:multiLevelType w:val="hybridMultilevel"/>
    <w:tmpl w:val="CB7C1378"/>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E7297"/>
    <w:multiLevelType w:val="hybridMultilevel"/>
    <w:tmpl w:val="977636BA"/>
    <w:lvl w:ilvl="0" w:tplc="ED7C40C8">
      <w:start w:val="1"/>
      <w:numFmt w:val="bullet"/>
      <w:lvlText w:val="ü"/>
      <w:lvlJc w:val="left"/>
      <w:pPr>
        <w:tabs>
          <w:tab w:val="num" w:pos="720"/>
        </w:tabs>
        <w:ind w:left="720" w:hanging="360"/>
      </w:pPr>
      <w:rPr>
        <w:rFonts w:ascii="Wingdings" w:hAnsi="Wingdings" w:hint="default"/>
      </w:rPr>
    </w:lvl>
    <w:lvl w:ilvl="1" w:tplc="9814BE76" w:tentative="1">
      <w:start w:val="1"/>
      <w:numFmt w:val="bullet"/>
      <w:lvlText w:val="ü"/>
      <w:lvlJc w:val="left"/>
      <w:pPr>
        <w:tabs>
          <w:tab w:val="num" w:pos="1440"/>
        </w:tabs>
        <w:ind w:left="1440" w:hanging="360"/>
      </w:pPr>
      <w:rPr>
        <w:rFonts w:ascii="Wingdings" w:hAnsi="Wingdings" w:hint="default"/>
      </w:rPr>
    </w:lvl>
    <w:lvl w:ilvl="2" w:tplc="37A2AC42" w:tentative="1">
      <w:start w:val="1"/>
      <w:numFmt w:val="bullet"/>
      <w:lvlText w:val="ü"/>
      <w:lvlJc w:val="left"/>
      <w:pPr>
        <w:tabs>
          <w:tab w:val="num" w:pos="2160"/>
        </w:tabs>
        <w:ind w:left="2160" w:hanging="360"/>
      </w:pPr>
      <w:rPr>
        <w:rFonts w:ascii="Wingdings" w:hAnsi="Wingdings" w:hint="default"/>
      </w:rPr>
    </w:lvl>
    <w:lvl w:ilvl="3" w:tplc="E256B856" w:tentative="1">
      <w:start w:val="1"/>
      <w:numFmt w:val="bullet"/>
      <w:lvlText w:val="ü"/>
      <w:lvlJc w:val="left"/>
      <w:pPr>
        <w:tabs>
          <w:tab w:val="num" w:pos="2880"/>
        </w:tabs>
        <w:ind w:left="2880" w:hanging="360"/>
      </w:pPr>
      <w:rPr>
        <w:rFonts w:ascii="Wingdings" w:hAnsi="Wingdings" w:hint="default"/>
      </w:rPr>
    </w:lvl>
    <w:lvl w:ilvl="4" w:tplc="7248C7C6" w:tentative="1">
      <w:start w:val="1"/>
      <w:numFmt w:val="bullet"/>
      <w:lvlText w:val="ü"/>
      <w:lvlJc w:val="left"/>
      <w:pPr>
        <w:tabs>
          <w:tab w:val="num" w:pos="3600"/>
        </w:tabs>
        <w:ind w:left="3600" w:hanging="360"/>
      </w:pPr>
      <w:rPr>
        <w:rFonts w:ascii="Wingdings" w:hAnsi="Wingdings" w:hint="default"/>
      </w:rPr>
    </w:lvl>
    <w:lvl w:ilvl="5" w:tplc="74902540" w:tentative="1">
      <w:start w:val="1"/>
      <w:numFmt w:val="bullet"/>
      <w:lvlText w:val="ü"/>
      <w:lvlJc w:val="left"/>
      <w:pPr>
        <w:tabs>
          <w:tab w:val="num" w:pos="4320"/>
        </w:tabs>
        <w:ind w:left="4320" w:hanging="360"/>
      </w:pPr>
      <w:rPr>
        <w:rFonts w:ascii="Wingdings" w:hAnsi="Wingdings" w:hint="default"/>
      </w:rPr>
    </w:lvl>
    <w:lvl w:ilvl="6" w:tplc="4B18691C" w:tentative="1">
      <w:start w:val="1"/>
      <w:numFmt w:val="bullet"/>
      <w:lvlText w:val="ü"/>
      <w:lvlJc w:val="left"/>
      <w:pPr>
        <w:tabs>
          <w:tab w:val="num" w:pos="5040"/>
        </w:tabs>
        <w:ind w:left="5040" w:hanging="360"/>
      </w:pPr>
      <w:rPr>
        <w:rFonts w:ascii="Wingdings" w:hAnsi="Wingdings" w:hint="default"/>
      </w:rPr>
    </w:lvl>
    <w:lvl w:ilvl="7" w:tplc="EA28B4AE" w:tentative="1">
      <w:start w:val="1"/>
      <w:numFmt w:val="bullet"/>
      <w:lvlText w:val="ü"/>
      <w:lvlJc w:val="left"/>
      <w:pPr>
        <w:tabs>
          <w:tab w:val="num" w:pos="5760"/>
        </w:tabs>
        <w:ind w:left="5760" w:hanging="360"/>
      </w:pPr>
      <w:rPr>
        <w:rFonts w:ascii="Wingdings" w:hAnsi="Wingdings" w:hint="default"/>
      </w:rPr>
    </w:lvl>
    <w:lvl w:ilvl="8" w:tplc="F3CEF108" w:tentative="1">
      <w:start w:val="1"/>
      <w:numFmt w:val="bullet"/>
      <w:lvlText w:val="ü"/>
      <w:lvlJc w:val="left"/>
      <w:pPr>
        <w:tabs>
          <w:tab w:val="num" w:pos="6480"/>
        </w:tabs>
        <w:ind w:left="6480" w:hanging="360"/>
      </w:pPr>
      <w:rPr>
        <w:rFonts w:ascii="Wingdings" w:hAnsi="Wingdings" w:hint="default"/>
      </w:rPr>
    </w:lvl>
  </w:abstractNum>
  <w:abstractNum w:abstractNumId="9" w15:restartNumberingAfterBreak="0">
    <w:nsid w:val="3A72733E"/>
    <w:multiLevelType w:val="hybridMultilevel"/>
    <w:tmpl w:val="2A80DBA0"/>
    <w:lvl w:ilvl="0" w:tplc="67443C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1572C"/>
    <w:multiLevelType w:val="hybridMultilevel"/>
    <w:tmpl w:val="D7D23E52"/>
    <w:lvl w:ilvl="0" w:tplc="57FE27E0">
      <w:start w:val="1"/>
      <w:numFmt w:val="bullet"/>
      <w:lvlText w:val="•"/>
      <w:lvlJc w:val="left"/>
      <w:pPr>
        <w:tabs>
          <w:tab w:val="num" w:pos="720"/>
        </w:tabs>
        <w:ind w:left="720" w:hanging="360"/>
      </w:pPr>
      <w:rPr>
        <w:rFonts w:ascii="Arial" w:hAnsi="Arial" w:hint="default"/>
      </w:rPr>
    </w:lvl>
    <w:lvl w:ilvl="1" w:tplc="2F3ECC52" w:tentative="1">
      <w:start w:val="1"/>
      <w:numFmt w:val="bullet"/>
      <w:lvlText w:val="•"/>
      <w:lvlJc w:val="left"/>
      <w:pPr>
        <w:tabs>
          <w:tab w:val="num" w:pos="1440"/>
        </w:tabs>
        <w:ind w:left="1440" w:hanging="360"/>
      </w:pPr>
      <w:rPr>
        <w:rFonts w:ascii="Arial" w:hAnsi="Arial" w:hint="default"/>
      </w:rPr>
    </w:lvl>
    <w:lvl w:ilvl="2" w:tplc="127A56D6" w:tentative="1">
      <w:start w:val="1"/>
      <w:numFmt w:val="bullet"/>
      <w:lvlText w:val="•"/>
      <w:lvlJc w:val="left"/>
      <w:pPr>
        <w:tabs>
          <w:tab w:val="num" w:pos="2160"/>
        </w:tabs>
        <w:ind w:left="2160" w:hanging="360"/>
      </w:pPr>
      <w:rPr>
        <w:rFonts w:ascii="Arial" w:hAnsi="Arial" w:hint="default"/>
      </w:rPr>
    </w:lvl>
    <w:lvl w:ilvl="3" w:tplc="BCC42936" w:tentative="1">
      <w:start w:val="1"/>
      <w:numFmt w:val="bullet"/>
      <w:lvlText w:val="•"/>
      <w:lvlJc w:val="left"/>
      <w:pPr>
        <w:tabs>
          <w:tab w:val="num" w:pos="2880"/>
        </w:tabs>
        <w:ind w:left="2880" w:hanging="360"/>
      </w:pPr>
      <w:rPr>
        <w:rFonts w:ascii="Arial" w:hAnsi="Arial" w:hint="default"/>
      </w:rPr>
    </w:lvl>
    <w:lvl w:ilvl="4" w:tplc="6C1C0E98" w:tentative="1">
      <w:start w:val="1"/>
      <w:numFmt w:val="bullet"/>
      <w:lvlText w:val="•"/>
      <w:lvlJc w:val="left"/>
      <w:pPr>
        <w:tabs>
          <w:tab w:val="num" w:pos="3600"/>
        </w:tabs>
        <w:ind w:left="3600" w:hanging="360"/>
      </w:pPr>
      <w:rPr>
        <w:rFonts w:ascii="Arial" w:hAnsi="Arial" w:hint="default"/>
      </w:rPr>
    </w:lvl>
    <w:lvl w:ilvl="5" w:tplc="2B107EB0" w:tentative="1">
      <w:start w:val="1"/>
      <w:numFmt w:val="bullet"/>
      <w:lvlText w:val="•"/>
      <w:lvlJc w:val="left"/>
      <w:pPr>
        <w:tabs>
          <w:tab w:val="num" w:pos="4320"/>
        </w:tabs>
        <w:ind w:left="4320" w:hanging="360"/>
      </w:pPr>
      <w:rPr>
        <w:rFonts w:ascii="Arial" w:hAnsi="Arial" w:hint="default"/>
      </w:rPr>
    </w:lvl>
    <w:lvl w:ilvl="6" w:tplc="9886C55A" w:tentative="1">
      <w:start w:val="1"/>
      <w:numFmt w:val="bullet"/>
      <w:lvlText w:val="•"/>
      <w:lvlJc w:val="left"/>
      <w:pPr>
        <w:tabs>
          <w:tab w:val="num" w:pos="5040"/>
        </w:tabs>
        <w:ind w:left="5040" w:hanging="360"/>
      </w:pPr>
      <w:rPr>
        <w:rFonts w:ascii="Arial" w:hAnsi="Arial" w:hint="default"/>
      </w:rPr>
    </w:lvl>
    <w:lvl w:ilvl="7" w:tplc="A09605DE" w:tentative="1">
      <w:start w:val="1"/>
      <w:numFmt w:val="bullet"/>
      <w:lvlText w:val="•"/>
      <w:lvlJc w:val="left"/>
      <w:pPr>
        <w:tabs>
          <w:tab w:val="num" w:pos="5760"/>
        </w:tabs>
        <w:ind w:left="5760" w:hanging="360"/>
      </w:pPr>
      <w:rPr>
        <w:rFonts w:ascii="Arial" w:hAnsi="Arial" w:hint="default"/>
      </w:rPr>
    </w:lvl>
    <w:lvl w:ilvl="8" w:tplc="605049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232567"/>
    <w:multiLevelType w:val="multilevel"/>
    <w:tmpl w:val="16F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070A2"/>
    <w:multiLevelType w:val="hybridMultilevel"/>
    <w:tmpl w:val="8D80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D0A37"/>
    <w:multiLevelType w:val="hybridMultilevel"/>
    <w:tmpl w:val="78302BE2"/>
    <w:lvl w:ilvl="0" w:tplc="1B4482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6285F"/>
    <w:multiLevelType w:val="hybridMultilevel"/>
    <w:tmpl w:val="2098AE38"/>
    <w:lvl w:ilvl="0" w:tplc="074EA548">
      <w:start w:val="1"/>
      <w:numFmt w:val="bullet"/>
      <w:lvlText w:val="•"/>
      <w:lvlJc w:val="left"/>
      <w:pPr>
        <w:tabs>
          <w:tab w:val="num" w:pos="720"/>
        </w:tabs>
        <w:ind w:left="720" w:hanging="360"/>
      </w:pPr>
      <w:rPr>
        <w:rFonts w:ascii="Arial" w:hAnsi="Arial" w:hint="default"/>
      </w:rPr>
    </w:lvl>
    <w:lvl w:ilvl="1" w:tplc="51B88B52" w:tentative="1">
      <w:start w:val="1"/>
      <w:numFmt w:val="bullet"/>
      <w:lvlText w:val="•"/>
      <w:lvlJc w:val="left"/>
      <w:pPr>
        <w:tabs>
          <w:tab w:val="num" w:pos="1440"/>
        </w:tabs>
        <w:ind w:left="1440" w:hanging="360"/>
      </w:pPr>
      <w:rPr>
        <w:rFonts w:ascii="Arial" w:hAnsi="Arial" w:hint="default"/>
      </w:rPr>
    </w:lvl>
    <w:lvl w:ilvl="2" w:tplc="64C67108" w:tentative="1">
      <w:start w:val="1"/>
      <w:numFmt w:val="bullet"/>
      <w:lvlText w:val="•"/>
      <w:lvlJc w:val="left"/>
      <w:pPr>
        <w:tabs>
          <w:tab w:val="num" w:pos="2160"/>
        </w:tabs>
        <w:ind w:left="2160" w:hanging="360"/>
      </w:pPr>
      <w:rPr>
        <w:rFonts w:ascii="Arial" w:hAnsi="Arial" w:hint="default"/>
      </w:rPr>
    </w:lvl>
    <w:lvl w:ilvl="3" w:tplc="B5BA3D4C" w:tentative="1">
      <w:start w:val="1"/>
      <w:numFmt w:val="bullet"/>
      <w:lvlText w:val="•"/>
      <w:lvlJc w:val="left"/>
      <w:pPr>
        <w:tabs>
          <w:tab w:val="num" w:pos="2880"/>
        </w:tabs>
        <w:ind w:left="2880" w:hanging="360"/>
      </w:pPr>
      <w:rPr>
        <w:rFonts w:ascii="Arial" w:hAnsi="Arial" w:hint="default"/>
      </w:rPr>
    </w:lvl>
    <w:lvl w:ilvl="4" w:tplc="160E8200" w:tentative="1">
      <w:start w:val="1"/>
      <w:numFmt w:val="bullet"/>
      <w:lvlText w:val="•"/>
      <w:lvlJc w:val="left"/>
      <w:pPr>
        <w:tabs>
          <w:tab w:val="num" w:pos="3600"/>
        </w:tabs>
        <w:ind w:left="3600" w:hanging="360"/>
      </w:pPr>
      <w:rPr>
        <w:rFonts w:ascii="Arial" w:hAnsi="Arial" w:hint="default"/>
      </w:rPr>
    </w:lvl>
    <w:lvl w:ilvl="5" w:tplc="D0829500" w:tentative="1">
      <w:start w:val="1"/>
      <w:numFmt w:val="bullet"/>
      <w:lvlText w:val="•"/>
      <w:lvlJc w:val="left"/>
      <w:pPr>
        <w:tabs>
          <w:tab w:val="num" w:pos="4320"/>
        </w:tabs>
        <w:ind w:left="4320" w:hanging="360"/>
      </w:pPr>
      <w:rPr>
        <w:rFonts w:ascii="Arial" w:hAnsi="Arial" w:hint="default"/>
      </w:rPr>
    </w:lvl>
    <w:lvl w:ilvl="6" w:tplc="C6367B46" w:tentative="1">
      <w:start w:val="1"/>
      <w:numFmt w:val="bullet"/>
      <w:lvlText w:val="•"/>
      <w:lvlJc w:val="left"/>
      <w:pPr>
        <w:tabs>
          <w:tab w:val="num" w:pos="5040"/>
        </w:tabs>
        <w:ind w:left="5040" w:hanging="360"/>
      </w:pPr>
      <w:rPr>
        <w:rFonts w:ascii="Arial" w:hAnsi="Arial" w:hint="default"/>
      </w:rPr>
    </w:lvl>
    <w:lvl w:ilvl="7" w:tplc="C862EBA6" w:tentative="1">
      <w:start w:val="1"/>
      <w:numFmt w:val="bullet"/>
      <w:lvlText w:val="•"/>
      <w:lvlJc w:val="left"/>
      <w:pPr>
        <w:tabs>
          <w:tab w:val="num" w:pos="5760"/>
        </w:tabs>
        <w:ind w:left="5760" w:hanging="360"/>
      </w:pPr>
      <w:rPr>
        <w:rFonts w:ascii="Arial" w:hAnsi="Arial" w:hint="default"/>
      </w:rPr>
    </w:lvl>
    <w:lvl w:ilvl="8" w:tplc="F7B447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871794"/>
    <w:multiLevelType w:val="hybridMultilevel"/>
    <w:tmpl w:val="6BECCDCC"/>
    <w:lvl w:ilvl="0" w:tplc="67443C7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F3D34"/>
    <w:multiLevelType w:val="hybridMultilevel"/>
    <w:tmpl w:val="671AF0E0"/>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605A6"/>
    <w:multiLevelType w:val="hybridMultilevel"/>
    <w:tmpl w:val="F14A6C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4F3500E"/>
    <w:multiLevelType w:val="hybridMultilevel"/>
    <w:tmpl w:val="C25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72C6B"/>
    <w:multiLevelType w:val="hybridMultilevel"/>
    <w:tmpl w:val="6AB6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B2C3F"/>
    <w:multiLevelType w:val="hybridMultilevel"/>
    <w:tmpl w:val="49C6AE6C"/>
    <w:lvl w:ilvl="0" w:tplc="072A2C5A">
      <w:start w:val="1"/>
      <w:numFmt w:val="bullet"/>
      <w:lvlText w:val="•"/>
      <w:lvlJc w:val="left"/>
      <w:pPr>
        <w:tabs>
          <w:tab w:val="num" w:pos="720"/>
        </w:tabs>
        <w:ind w:left="720" w:hanging="360"/>
      </w:pPr>
      <w:rPr>
        <w:rFonts w:ascii="Arial" w:hAnsi="Arial" w:hint="default"/>
      </w:rPr>
    </w:lvl>
    <w:lvl w:ilvl="1" w:tplc="BE94D7B8" w:tentative="1">
      <w:start w:val="1"/>
      <w:numFmt w:val="bullet"/>
      <w:lvlText w:val="•"/>
      <w:lvlJc w:val="left"/>
      <w:pPr>
        <w:tabs>
          <w:tab w:val="num" w:pos="1440"/>
        </w:tabs>
        <w:ind w:left="1440" w:hanging="360"/>
      </w:pPr>
      <w:rPr>
        <w:rFonts w:ascii="Arial" w:hAnsi="Arial" w:hint="default"/>
      </w:rPr>
    </w:lvl>
    <w:lvl w:ilvl="2" w:tplc="278A488C" w:tentative="1">
      <w:start w:val="1"/>
      <w:numFmt w:val="bullet"/>
      <w:lvlText w:val="•"/>
      <w:lvlJc w:val="left"/>
      <w:pPr>
        <w:tabs>
          <w:tab w:val="num" w:pos="2160"/>
        </w:tabs>
        <w:ind w:left="2160" w:hanging="360"/>
      </w:pPr>
      <w:rPr>
        <w:rFonts w:ascii="Arial" w:hAnsi="Arial" w:hint="default"/>
      </w:rPr>
    </w:lvl>
    <w:lvl w:ilvl="3" w:tplc="A69EA1D4" w:tentative="1">
      <w:start w:val="1"/>
      <w:numFmt w:val="bullet"/>
      <w:lvlText w:val="•"/>
      <w:lvlJc w:val="left"/>
      <w:pPr>
        <w:tabs>
          <w:tab w:val="num" w:pos="2880"/>
        </w:tabs>
        <w:ind w:left="2880" w:hanging="360"/>
      </w:pPr>
      <w:rPr>
        <w:rFonts w:ascii="Arial" w:hAnsi="Arial" w:hint="default"/>
      </w:rPr>
    </w:lvl>
    <w:lvl w:ilvl="4" w:tplc="B6D46CD8" w:tentative="1">
      <w:start w:val="1"/>
      <w:numFmt w:val="bullet"/>
      <w:lvlText w:val="•"/>
      <w:lvlJc w:val="left"/>
      <w:pPr>
        <w:tabs>
          <w:tab w:val="num" w:pos="3600"/>
        </w:tabs>
        <w:ind w:left="3600" w:hanging="360"/>
      </w:pPr>
      <w:rPr>
        <w:rFonts w:ascii="Arial" w:hAnsi="Arial" w:hint="default"/>
      </w:rPr>
    </w:lvl>
    <w:lvl w:ilvl="5" w:tplc="205A6BD4" w:tentative="1">
      <w:start w:val="1"/>
      <w:numFmt w:val="bullet"/>
      <w:lvlText w:val="•"/>
      <w:lvlJc w:val="left"/>
      <w:pPr>
        <w:tabs>
          <w:tab w:val="num" w:pos="4320"/>
        </w:tabs>
        <w:ind w:left="4320" w:hanging="360"/>
      </w:pPr>
      <w:rPr>
        <w:rFonts w:ascii="Arial" w:hAnsi="Arial" w:hint="default"/>
      </w:rPr>
    </w:lvl>
    <w:lvl w:ilvl="6" w:tplc="184C94D6" w:tentative="1">
      <w:start w:val="1"/>
      <w:numFmt w:val="bullet"/>
      <w:lvlText w:val="•"/>
      <w:lvlJc w:val="left"/>
      <w:pPr>
        <w:tabs>
          <w:tab w:val="num" w:pos="5040"/>
        </w:tabs>
        <w:ind w:left="5040" w:hanging="360"/>
      </w:pPr>
      <w:rPr>
        <w:rFonts w:ascii="Arial" w:hAnsi="Arial" w:hint="default"/>
      </w:rPr>
    </w:lvl>
    <w:lvl w:ilvl="7" w:tplc="6E1E0340" w:tentative="1">
      <w:start w:val="1"/>
      <w:numFmt w:val="bullet"/>
      <w:lvlText w:val="•"/>
      <w:lvlJc w:val="left"/>
      <w:pPr>
        <w:tabs>
          <w:tab w:val="num" w:pos="5760"/>
        </w:tabs>
        <w:ind w:left="5760" w:hanging="360"/>
      </w:pPr>
      <w:rPr>
        <w:rFonts w:ascii="Arial" w:hAnsi="Arial" w:hint="default"/>
      </w:rPr>
    </w:lvl>
    <w:lvl w:ilvl="8" w:tplc="077434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322130"/>
    <w:multiLevelType w:val="hybridMultilevel"/>
    <w:tmpl w:val="E13EB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896120">
    <w:abstractNumId w:val="2"/>
  </w:num>
  <w:num w:numId="2" w16cid:durableId="128279802">
    <w:abstractNumId w:val="3"/>
  </w:num>
  <w:num w:numId="3" w16cid:durableId="1453598278">
    <w:abstractNumId w:val="17"/>
  </w:num>
  <w:num w:numId="4" w16cid:durableId="2138058541">
    <w:abstractNumId w:val="4"/>
  </w:num>
  <w:num w:numId="5" w16cid:durableId="12365457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16cid:durableId="1834642672">
    <w:abstractNumId w:val="18"/>
  </w:num>
  <w:num w:numId="7" w16cid:durableId="583151536">
    <w:abstractNumId w:val="7"/>
  </w:num>
  <w:num w:numId="8" w16cid:durableId="635725884">
    <w:abstractNumId w:val="0"/>
  </w:num>
  <w:num w:numId="9" w16cid:durableId="1112431574">
    <w:abstractNumId w:val="19"/>
  </w:num>
  <w:num w:numId="10" w16cid:durableId="1221944957">
    <w:abstractNumId w:val="13"/>
  </w:num>
  <w:num w:numId="11" w16cid:durableId="765422885">
    <w:abstractNumId w:val="16"/>
  </w:num>
  <w:num w:numId="12" w16cid:durableId="1139810127">
    <w:abstractNumId w:val="12"/>
  </w:num>
  <w:num w:numId="13" w16cid:durableId="1348944889">
    <w:abstractNumId w:val="21"/>
  </w:num>
  <w:num w:numId="14" w16cid:durableId="686829891">
    <w:abstractNumId w:val="14"/>
  </w:num>
  <w:num w:numId="15" w16cid:durableId="1346446604">
    <w:abstractNumId w:val="20"/>
  </w:num>
  <w:num w:numId="16" w16cid:durableId="1175920137">
    <w:abstractNumId w:val="5"/>
  </w:num>
  <w:num w:numId="17" w16cid:durableId="1164319906">
    <w:abstractNumId w:val="10"/>
  </w:num>
  <w:num w:numId="18" w16cid:durableId="444858457">
    <w:abstractNumId w:val="1"/>
  </w:num>
  <w:num w:numId="19" w16cid:durableId="617220130">
    <w:abstractNumId w:val="9"/>
  </w:num>
  <w:num w:numId="20" w16cid:durableId="304242594">
    <w:abstractNumId w:val="6"/>
  </w:num>
  <w:num w:numId="21" w16cid:durableId="501706287">
    <w:abstractNumId w:val="15"/>
  </w:num>
  <w:num w:numId="22" w16cid:durableId="1108701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54"/>
    <w:rsid w:val="00001050"/>
    <w:rsid w:val="00033C21"/>
    <w:rsid w:val="00040F99"/>
    <w:rsid w:val="0005254B"/>
    <w:rsid w:val="000531CB"/>
    <w:rsid w:val="000846A8"/>
    <w:rsid w:val="000B47DF"/>
    <w:rsid w:val="000B55D1"/>
    <w:rsid w:val="000C448B"/>
    <w:rsid w:val="000D720B"/>
    <w:rsid w:val="000E1D2B"/>
    <w:rsid w:val="00111013"/>
    <w:rsid w:val="00117E2B"/>
    <w:rsid w:val="001229A5"/>
    <w:rsid w:val="00133E57"/>
    <w:rsid w:val="0015461C"/>
    <w:rsid w:val="00174F96"/>
    <w:rsid w:val="001906B6"/>
    <w:rsid w:val="001F18F2"/>
    <w:rsid w:val="00240387"/>
    <w:rsid w:val="00256216"/>
    <w:rsid w:val="0025761E"/>
    <w:rsid w:val="00270FAA"/>
    <w:rsid w:val="002735B2"/>
    <w:rsid w:val="002A752A"/>
    <w:rsid w:val="002B4C86"/>
    <w:rsid w:val="002B5BB2"/>
    <w:rsid w:val="002D5641"/>
    <w:rsid w:val="002E004E"/>
    <w:rsid w:val="002E20CC"/>
    <w:rsid w:val="002E2D15"/>
    <w:rsid w:val="002F44FB"/>
    <w:rsid w:val="00302569"/>
    <w:rsid w:val="0030390F"/>
    <w:rsid w:val="00305530"/>
    <w:rsid w:val="00326AB7"/>
    <w:rsid w:val="003444DF"/>
    <w:rsid w:val="003564E6"/>
    <w:rsid w:val="00365454"/>
    <w:rsid w:val="0037456A"/>
    <w:rsid w:val="00382917"/>
    <w:rsid w:val="003B357F"/>
    <w:rsid w:val="003E3E45"/>
    <w:rsid w:val="003E538E"/>
    <w:rsid w:val="003F50C8"/>
    <w:rsid w:val="00405CDC"/>
    <w:rsid w:val="004239FD"/>
    <w:rsid w:val="004242C0"/>
    <w:rsid w:val="004432C0"/>
    <w:rsid w:val="0047655F"/>
    <w:rsid w:val="004A62B0"/>
    <w:rsid w:val="004C4DDA"/>
    <w:rsid w:val="004C5FE8"/>
    <w:rsid w:val="004E3521"/>
    <w:rsid w:val="004E613B"/>
    <w:rsid w:val="004F4C1C"/>
    <w:rsid w:val="004F58A0"/>
    <w:rsid w:val="00501DFE"/>
    <w:rsid w:val="005153B2"/>
    <w:rsid w:val="00540D21"/>
    <w:rsid w:val="00564ECF"/>
    <w:rsid w:val="005F51F7"/>
    <w:rsid w:val="005F7E7B"/>
    <w:rsid w:val="00624EF5"/>
    <w:rsid w:val="006475BA"/>
    <w:rsid w:val="00652765"/>
    <w:rsid w:val="00663A56"/>
    <w:rsid w:val="00663D0A"/>
    <w:rsid w:val="00677467"/>
    <w:rsid w:val="006857F6"/>
    <w:rsid w:val="006970C7"/>
    <w:rsid w:val="006B0BE6"/>
    <w:rsid w:val="006C5E55"/>
    <w:rsid w:val="006D1279"/>
    <w:rsid w:val="006D1490"/>
    <w:rsid w:val="006D4A65"/>
    <w:rsid w:val="006E52AB"/>
    <w:rsid w:val="00715455"/>
    <w:rsid w:val="007157AD"/>
    <w:rsid w:val="00726FB3"/>
    <w:rsid w:val="00737F3F"/>
    <w:rsid w:val="007540D8"/>
    <w:rsid w:val="00757EF5"/>
    <w:rsid w:val="007A0395"/>
    <w:rsid w:val="007A255A"/>
    <w:rsid w:val="007A54DA"/>
    <w:rsid w:val="007D3116"/>
    <w:rsid w:val="007D3FDB"/>
    <w:rsid w:val="007F2AF0"/>
    <w:rsid w:val="0080210F"/>
    <w:rsid w:val="008328AB"/>
    <w:rsid w:val="00850A70"/>
    <w:rsid w:val="008A348E"/>
    <w:rsid w:val="008B2E99"/>
    <w:rsid w:val="008C0BAA"/>
    <w:rsid w:val="009140D2"/>
    <w:rsid w:val="00922F09"/>
    <w:rsid w:val="00943E4A"/>
    <w:rsid w:val="009543E9"/>
    <w:rsid w:val="00965289"/>
    <w:rsid w:val="009907F1"/>
    <w:rsid w:val="009A17E1"/>
    <w:rsid w:val="009B061C"/>
    <w:rsid w:val="009C4535"/>
    <w:rsid w:val="009E40AD"/>
    <w:rsid w:val="009F2AA2"/>
    <w:rsid w:val="00A05EE1"/>
    <w:rsid w:val="00A25054"/>
    <w:rsid w:val="00A521F9"/>
    <w:rsid w:val="00A533B6"/>
    <w:rsid w:val="00A60BD3"/>
    <w:rsid w:val="00AD2B92"/>
    <w:rsid w:val="00AD7B0D"/>
    <w:rsid w:val="00AE58D1"/>
    <w:rsid w:val="00AF2B57"/>
    <w:rsid w:val="00AF536F"/>
    <w:rsid w:val="00B07A39"/>
    <w:rsid w:val="00B21A99"/>
    <w:rsid w:val="00B24131"/>
    <w:rsid w:val="00B357DA"/>
    <w:rsid w:val="00BB4FCE"/>
    <w:rsid w:val="00BB664E"/>
    <w:rsid w:val="00BC32FC"/>
    <w:rsid w:val="00BD79BE"/>
    <w:rsid w:val="00BE09DC"/>
    <w:rsid w:val="00C03535"/>
    <w:rsid w:val="00C065EC"/>
    <w:rsid w:val="00C1727E"/>
    <w:rsid w:val="00C27235"/>
    <w:rsid w:val="00C40900"/>
    <w:rsid w:val="00C47B1A"/>
    <w:rsid w:val="00C53C19"/>
    <w:rsid w:val="00C709F6"/>
    <w:rsid w:val="00CB749D"/>
    <w:rsid w:val="00CD0FCD"/>
    <w:rsid w:val="00CD578B"/>
    <w:rsid w:val="00CF069B"/>
    <w:rsid w:val="00D13426"/>
    <w:rsid w:val="00D62C52"/>
    <w:rsid w:val="00D6563A"/>
    <w:rsid w:val="00D7412E"/>
    <w:rsid w:val="00DB0EFB"/>
    <w:rsid w:val="00DB15C2"/>
    <w:rsid w:val="00DB4094"/>
    <w:rsid w:val="00DD088E"/>
    <w:rsid w:val="00DF4170"/>
    <w:rsid w:val="00DF603C"/>
    <w:rsid w:val="00E02B58"/>
    <w:rsid w:val="00E430D8"/>
    <w:rsid w:val="00ED02BA"/>
    <w:rsid w:val="00EF15AE"/>
    <w:rsid w:val="00EF2606"/>
    <w:rsid w:val="00F534F5"/>
    <w:rsid w:val="00F65C7D"/>
    <w:rsid w:val="00F75CC7"/>
    <w:rsid w:val="00F9445F"/>
    <w:rsid w:val="00FA4D6D"/>
    <w:rsid w:val="00FA6245"/>
    <w:rsid w:val="00FC164C"/>
    <w:rsid w:val="00FF00F5"/>
    <w:rsid w:val="00FF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985D"/>
  <w15:chartTrackingRefBased/>
  <w15:docId w15:val="{45BBB3F6-C4E9-3345-9D5D-6B8E0782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B2"/>
    <w:rPr>
      <w:rFonts w:ascii="Times New Roman" w:eastAsia="Times New Roman" w:hAnsi="Times New Roman" w:cs="Times New Roman"/>
    </w:rPr>
  </w:style>
  <w:style w:type="paragraph" w:styleId="Heading1">
    <w:name w:val="heading 1"/>
    <w:basedOn w:val="Normal"/>
    <w:next w:val="Normal"/>
    <w:link w:val="Heading1Char"/>
    <w:uiPriority w:val="9"/>
    <w:qFormat/>
    <w:rsid w:val="00501D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D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31C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5054"/>
    <w:rPr>
      <w:sz w:val="20"/>
      <w:szCs w:val="20"/>
    </w:rPr>
  </w:style>
  <w:style w:type="character" w:customStyle="1" w:styleId="FootnoteTextChar">
    <w:name w:val="Footnote Text Char"/>
    <w:basedOn w:val="DefaultParagraphFont"/>
    <w:link w:val="FootnoteText"/>
    <w:uiPriority w:val="99"/>
    <w:semiHidden/>
    <w:rsid w:val="00A25054"/>
    <w:rPr>
      <w:sz w:val="20"/>
      <w:szCs w:val="20"/>
    </w:rPr>
  </w:style>
  <w:style w:type="character" w:styleId="FootnoteReference">
    <w:name w:val="footnote reference"/>
    <w:basedOn w:val="DefaultParagraphFont"/>
    <w:uiPriority w:val="99"/>
    <w:semiHidden/>
    <w:unhideWhenUsed/>
    <w:rsid w:val="00A25054"/>
    <w:rPr>
      <w:vertAlign w:val="superscript"/>
    </w:rPr>
  </w:style>
  <w:style w:type="character" w:styleId="Hyperlink">
    <w:name w:val="Hyperlink"/>
    <w:basedOn w:val="DefaultParagraphFont"/>
    <w:uiPriority w:val="99"/>
    <w:unhideWhenUsed/>
    <w:rsid w:val="00A25054"/>
    <w:rPr>
      <w:color w:val="0563C1" w:themeColor="hyperlink"/>
      <w:u w:val="single"/>
    </w:rPr>
  </w:style>
  <w:style w:type="character" w:styleId="UnresolvedMention">
    <w:name w:val="Unresolved Mention"/>
    <w:basedOn w:val="DefaultParagraphFont"/>
    <w:uiPriority w:val="99"/>
    <w:semiHidden/>
    <w:unhideWhenUsed/>
    <w:rsid w:val="00A25054"/>
    <w:rPr>
      <w:color w:val="605E5C"/>
      <w:shd w:val="clear" w:color="auto" w:fill="E1DFDD"/>
    </w:rPr>
  </w:style>
  <w:style w:type="paragraph" w:styleId="ListParagraph">
    <w:name w:val="List Paragraph"/>
    <w:basedOn w:val="Normal"/>
    <w:uiPriority w:val="34"/>
    <w:qFormat/>
    <w:rsid w:val="00A25054"/>
    <w:pPr>
      <w:ind w:left="720"/>
      <w:contextualSpacing/>
    </w:pPr>
  </w:style>
  <w:style w:type="paragraph" w:styleId="NormalWeb">
    <w:name w:val="Normal (Web)"/>
    <w:basedOn w:val="Normal"/>
    <w:uiPriority w:val="99"/>
    <w:semiHidden/>
    <w:unhideWhenUsed/>
    <w:rsid w:val="007A0395"/>
    <w:pPr>
      <w:spacing w:before="100" w:beforeAutospacing="1" w:after="100" w:afterAutospacing="1"/>
    </w:pPr>
  </w:style>
  <w:style w:type="character" w:customStyle="1" w:styleId="Heading1Char">
    <w:name w:val="Heading 1 Char"/>
    <w:basedOn w:val="DefaultParagraphFont"/>
    <w:link w:val="Heading1"/>
    <w:uiPriority w:val="9"/>
    <w:rsid w:val="00501D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1D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31C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2669">
      <w:bodyDiv w:val="1"/>
      <w:marLeft w:val="0"/>
      <w:marRight w:val="0"/>
      <w:marTop w:val="0"/>
      <w:marBottom w:val="0"/>
      <w:divBdr>
        <w:top w:val="none" w:sz="0" w:space="0" w:color="auto"/>
        <w:left w:val="none" w:sz="0" w:space="0" w:color="auto"/>
        <w:bottom w:val="none" w:sz="0" w:space="0" w:color="auto"/>
        <w:right w:val="none" w:sz="0" w:space="0" w:color="auto"/>
      </w:divBdr>
    </w:div>
    <w:div w:id="264074910">
      <w:bodyDiv w:val="1"/>
      <w:marLeft w:val="0"/>
      <w:marRight w:val="0"/>
      <w:marTop w:val="0"/>
      <w:marBottom w:val="0"/>
      <w:divBdr>
        <w:top w:val="none" w:sz="0" w:space="0" w:color="auto"/>
        <w:left w:val="none" w:sz="0" w:space="0" w:color="auto"/>
        <w:bottom w:val="none" w:sz="0" w:space="0" w:color="auto"/>
        <w:right w:val="none" w:sz="0" w:space="0" w:color="auto"/>
      </w:divBdr>
    </w:div>
    <w:div w:id="316300199">
      <w:bodyDiv w:val="1"/>
      <w:marLeft w:val="0"/>
      <w:marRight w:val="0"/>
      <w:marTop w:val="0"/>
      <w:marBottom w:val="0"/>
      <w:divBdr>
        <w:top w:val="none" w:sz="0" w:space="0" w:color="auto"/>
        <w:left w:val="none" w:sz="0" w:space="0" w:color="auto"/>
        <w:bottom w:val="none" w:sz="0" w:space="0" w:color="auto"/>
        <w:right w:val="none" w:sz="0" w:space="0" w:color="auto"/>
      </w:divBdr>
    </w:div>
    <w:div w:id="432825058">
      <w:bodyDiv w:val="1"/>
      <w:marLeft w:val="0"/>
      <w:marRight w:val="0"/>
      <w:marTop w:val="0"/>
      <w:marBottom w:val="0"/>
      <w:divBdr>
        <w:top w:val="none" w:sz="0" w:space="0" w:color="auto"/>
        <w:left w:val="none" w:sz="0" w:space="0" w:color="auto"/>
        <w:bottom w:val="none" w:sz="0" w:space="0" w:color="auto"/>
        <w:right w:val="none" w:sz="0" w:space="0" w:color="auto"/>
      </w:divBdr>
    </w:div>
    <w:div w:id="477304496">
      <w:bodyDiv w:val="1"/>
      <w:marLeft w:val="0"/>
      <w:marRight w:val="0"/>
      <w:marTop w:val="0"/>
      <w:marBottom w:val="0"/>
      <w:divBdr>
        <w:top w:val="none" w:sz="0" w:space="0" w:color="auto"/>
        <w:left w:val="none" w:sz="0" w:space="0" w:color="auto"/>
        <w:bottom w:val="none" w:sz="0" w:space="0" w:color="auto"/>
        <w:right w:val="none" w:sz="0" w:space="0" w:color="auto"/>
      </w:divBdr>
      <w:divsChild>
        <w:div w:id="276723633">
          <w:marLeft w:val="547"/>
          <w:marRight w:val="0"/>
          <w:marTop w:val="0"/>
          <w:marBottom w:val="120"/>
          <w:divBdr>
            <w:top w:val="none" w:sz="0" w:space="0" w:color="auto"/>
            <w:left w:val="none" w:sz="0" w:space="0" w:color="auto"/>
            <w:bottom w:val="none" w:sz="0" w:space="0" w:color="auto"/>
            <w:right w:val="none" w:sz="0" w:space="0" w:color="auto"/>
          </w:divBdr>
        </w:div>
        <w:div w:id="1854568120">
          <w:marLeft w:val="547"/>
          <w:marRight w:val="0"/>
          <w:marTop w:val="0"/>
          <w:marBottom w:val="120"/>
          <w:divBdr>
            <w:top w:val="none" w:sz="0" w:space="0" w:color="auto"/>
            <w:left w:val="none" w:sz="0" w:space="0" w:color="auto"/>
            <w:bottom w:val="none" w:sz="0" w:space="0" w:color="auto"/>
            <w:right w:val="none" w:sz="0" w:space="0" w:color="auto"/>
          </w:divBdr>
        </w:div>
      </w:divsChild>
    </w:div>
    <w:div w:id="1046949313">
      <w:bodyDiv w:val="1"/>
      <w:marLeft w:val="0"/>
      <w:marRight w:val="0"/>
      <w:marTop w:val="0"/>
      <w:marBottom w:val="0"/>
      <w:divBdr>
        <w:top w:val="none" w:sz="0" w:space="0" w:color="auto"/>
        <w:left w:val="none" w:sz="0" w:space="0" w:color="auto"/>
        <w:bottom w:val="none" w:sz="0" w:space="0" w:color="auto"/>
        <w:right w:val="none" w:sz="0" w:space="0" w:color="auto"/>
      </w:divBdr>
      <w:divsChild>
        <w:div w:id="831601507">
          <w:marLeft w:val="446"/>
          <w:marRight w:val="0"/>
          <w:marTop w:val="80"/>
          <w:marBottom w:val="0"/>
          <w:divBdr>
            <w:top w:val="none" w:sz="0" w:space="0" w:color="auto"/>
            <w:left w:val="none" w:sz="0" w:space="0" w:color="auto"/>
            <w:bottom w:val="none" w:sz="0" w:space="0" w:color="auto"/>
            <w:right w:val="none" w:sz="0" w:space="0" w:color="auto"/>
          </w:divBdr>
        </w:div>
        <w:div w:id="666639822">
          <w:marLeft w:val="446"/>
          <w:marRight w:val="0"/>
          <w:marTop w:val="80"/>
          <w:marBottom w:val="0"/>
          <w:divBdr>
            <w:top w:val="none" w:sz="0" w:space="0" w:color="auto"/>
            <w:left w:val="none" w:sz="0" w:space="0" w:color="auto"/>
            <w:bottom w:val="none" w:sz="0" w:space="0" w:color="auto"/>
            <w:right w:val="none" w:sz="0" w:space="0" w:color="auto"/>
          </w:divBdr>
        </w:div>
        <w:div w:id="1937663770">
          <w:marLeft w:val="446"/>
          <w:marRight w:val="0"/>
          <w:marTop w:val="80"/>
          <w:marBottom w:val="0"/>
          <w:divBdr>
            <w:top w:val="none" w:sz="0" w:space="0" w:color="auto"/>
            <w:left w:val="none" w:sz="0" w:space="0" w:color="auto"/>
            <w:bottom w:val="none" w:sz="0" w:space="0" w:color="auto"/>
            <w:right w:val="none" w:sz="0" w:space="0" w:color="auto"/>
          </w:divBdr>
        </w:div>
        <w:div w:id="1672490059">
          <w:marLeft w:val="446"/>
          <w:marRight w:val="0"/>
          <w:marTop w:val="80"/>
          <w:marBottom w:val="0"/>
          <w:divBdr>
            <w:top w:val="none" w:sz="0" w:space="0" w:color="auto"/>
            <w:left w:val="none" w:sz="0" w:space="0" w:color="auto"/>
            <w:bottom w:val="none" w:sz="0" w:space="0" w:color="auto"/>
            <w:right w:val="none" w:sz="0" w:space="0" w:color="auto"/>
          </w:divBdr>
        </w:div>
        <w:div w:id="1880241120">
          <w:marLeft w:val="446"/>
          <w:marRight w:val="0"/>
          <w:marTop w:val="200"/>
          <w:marBottom w:val="0"/>
          <w:divBdr>
            <w:top w:val="none" w:sz="0" w:space="0" w:color="auto"/>
            <w:left w:val="none" w:sz="0" w:space="0" w:color="auto"/>
            <w:bottom w:val="none" w:sz="0" w:space="0" w:color="auto"/>
            <w:right w:val="none" w:sz="0" w:space="0" w:color="auto"/>
          </w:divBdr>
        </w:div>
        <w:div w:id="1757431925">
          <w:marLeft w:val="446"/>
          <w:marRight w:val="0"/>
          <w:marTop w:val="200"/>
          <w:marBottom w:val="0"/>
          <w:divBdr>
            <w:top w:val="none" w:sz="0" w:space="0" w:color="auto"/>
            <w:left w:val="none" w:sz="0" w:space="0" w:color="auto"/>
            <w:bottom w:val="none" w:sz="0" w:space="0" w:color="auto"/>
            <w:right w:val="none" w:sz="0" w:space="0" w:color="auto"/>
          </w:divBdr>
        </w:div>
        <w:div w:id="1874532629">
          <w:marLeft w:val="446"/>
          <w:marRight w:val="0"/>
          <w:marTop w:val="200"/>
          <w:marBottom w:val="0"/>
          <w:divBdr>
            <w:top w:val="none" w:sz="0" w:space="0" w:color="auto"/>
            <w:left w:val="none" w:sz="0" w:space="0" w:color="auto"/>
            <w:bottom w:val="none" w:sz="0" w:space="0" w:color="auto"/>
            <w:right w:val="none" w:sz="0" w:space="0" w:color="auto"/>
          </w:divBdr>
        </w:div>
        <w:div w:id="1738824547">
          <w:marLeft w:val="446"/>
          <w:marRight w:val="0"/>
          <w:marTop w:val="200"/>
          <w:marBottom w:val="0"/>
          <w:divBdr>
            <w:top w:val="none" w:sz="0" w:space="0" w:color="auto"/>
            <w:left w:val="none" w:sz="0" w:space="0" w:color="auto"/>
            <w:bottom w:val="none" w:sz="0" w:space="0" w:color="auto"/>
            <w:right w:val="none" w:sz="0" w:space="0" w:color="auto"/>
          </w:divBdr>
        </w:div>
        <w:div w:id="2092582515">
          <w:marLeft w:val="446"/>
          <w:marRight w:val="0"/>
          <w:marTop w:val="200"/>
          <w:marBottom w:val="0"/>
          <w:divBdr>
            <w:top w:val="none" w:sz="0" w:space="0" w:color="auto"/>
            <w:left w:val="none" w:sz="0" w:space="0" w:color="auto"/>
            <w:bottom w:val="none" w:sz="0" w:space="0" w:color="auto"/>
            <w:right w:val="none" w:sz="0" w:space="0" w:color="auto"/>
          </w:divBdr>
        </w:div>
      </w:divsChild>
    </w:div>
    <w:div w:id="1078940589">
      <w:bodyDiv w:val="1"/>
      <w:marLeft w:val="0"/>
      <w:marRight w:val="0"/>
      <w:marTop w:val="0"/>
      <w:marBottom w:val="0"/>
      <w:divBdr>
        <w:top w:val="none" w:sz="0" w:space="0" w:color="auto"/>
        <w:left w:val="none" w:sz="0" w:space="0" w:color="auto"/>
        <w:bottom w:val="none" w:sz="0" w:space="0" w:color="auto"/>
        <w:right w:val="none" w:sz="0" w:space="0" w:color="auto"/>
      </w:divBdr>
    </w:div>
    <w:div w:id="1102341969">
      <w:bodyDiv w:val="1"/>
      <w:marLeft w:val="0"/>
      <w:marRight w:val="0"/>
      <w:marTop w:val="0"/>
      <w:marBottom w:val="0"/>
      <w:divBdr>
        <w:top w:val="none" w:sz="0" w:space="0" w:color="auto"/>
        <w:left w:val="none" w:sz="0" w:space="0" w:color="auto"/>
        <w:bottom w:val="none" w:sz="0" w:space="0" w:color="auto"/>
        <w:right w:val="none" w:sz="0" w:space="0" w:color="auto"/>
      </w:divBdr>
    </w:div>
    <w:div w:id="1337808822">
      <w:bodyDiv w:val="1"/>
      <w:marLeft w:val="0"/>
      <w:marRight w:val="0"/>
      <w:marTop w:val="0"/>
      <w:marBottom w:val="0"/>
      <w:divBdr>
        <w:top w:val="none" w:sz="0" w:space="0" w:color="auto"/>
        <w:left w:val="none" w:sz="0" w:space="0" w:color="auto"/>
        <w:bottom w:val="none" w:sz="0" w:space="0" w:color="auto"/>
        <w:right w:val="none" w:sz="0" w:space="0" w:color="auto"/>
      </w:divBdr>
    </w:div>
    <w:div w:id="1376807959">
      <w:bodyDiv w:val="1"/>
      <w:marLeft w:val="0"/>
      <w:marRight w:val="0"/>
      <w:marTop w:val="0"/>
      <w:marBottom w:val="0"/>
      <w:divBdr>
        <w:top w:val="none" w:sz="0" w:space="0" w:color="auto"/>
        <w:left w:val="none" w:sz="0" w:space="0" w:color="auto"/>
        <w:bottom w:val="none" w:sz="0" w:space="0" w:color="auto"/>
        <w:right w:val="none" w:sz="0" w:space="0" w:color="auto"/>
      </w:divBdr>
    </w:div>
    <w:div w:id="1425346704">
      <w:bodyDiv w:val="1"/>
      <w:marLeft w:val="0"/>
      <w:marRight w:val="0"/>
      <w:marTop w:val="0"/>
      <w:marBottom w:val="0"/>
      <w:divBdr>
        <w:top w:val="none" w:sz="0" w:space="0" w:color="auto"/>
        <w:left w:val="none" w:sz="0" w:space="0" w:color="auto"/>
        <w:bottom w:val="none" w:sz="0" w:space="0" w:color="auto"/>
        <w:right w:val="none" w:sz="0" w:space="0" w:color="auto"/>
      </w:divBdr>
    </w:div>
    <w:div w:id="1573468267">
      <w:bodyDiv w:val="1"/>
      <w:marLeft w:val="0"/>
      <w:marRight w:val="0"/>
      <w:marTop w:val="0"/>
      <w:marBottom w:val="0"/>
      <w:divBdr>
        <w:top w:val="none" w:sz="0" w:space="0" w:color="auto"/>
        <w:left w:val="none" w:sz="0" w:space="0" w:color="auto"/>
        <w:bottom w:val="none" w:sz="0" w:space="0" w:color="auto"/>
        <w:right w:val="none" w:sz="0" w:space="0" w:color="auto"/>
      </w:divBdr>
      <w:divsChild>
        <w:div w:id="1485319426">
          <w:marLeft w:val="446"/>
          <w:marRight w:val="0"/>
          <w:marTop w:val="80"/>
          <w:marBottom w:val="0"/>
          <w:divBdr>
            <w:top w:val="none" w:sz="0" w:space="0" w:color="auto"/>
            <w:left w:val="none" w:sz="0" w:space="0" w:color="auto"/>
            <w:bottom w:val="none" w:sz="0" w:space="0" w:color="auto"/>
            <w:right w:val="none" w:sz="0" w:space="0" w:color="auto"/>
          </w:divBdr>
        </w:div>
        <w:div w:id="175385904">
          <w:marLeft w:val="446"/>
          <w:marRight w:val="0"/>
          <w:marTop w:val="80"/>
          <w:marBottom w:val="0"/>
          <w:divBdr>
            <w:top w:val="none" w:sz="0" w:space="0" w:color="auto"/>
            <w:left w:val="none" w:sz="0" w:space="0" w:color="auto"/>
            <w:bottom w:val="none" w:sz="0" w:space="0" w:color="auto"/>
            <w:right w:val="none" w:sz="0" w:space="0" w:color="auto"/>
          </w:divBdr>
        </w:div>
        <w:div w:id="642932800">
          <w:marLeft w:val="446"/>
          <w:marRight w:val="0"/>
          <w:marTop w:val="80"/>
          <w:marBottom w:val="0"/>
          <w:divBdr>
            <w:top w:val="none" w:sz="0" w:space="0" w:color="auto"/>
            <w:left w:val="none" w:sz="0" w:space="0" w:color="auto"/>
            <w:bottom w:val="none" w:sz="0" w:space="0" w:color="auto"/>
            <w:right w:val="none" w:sz="0" w:space="0" w:color="auto"/>
          </w:divBdr>
        </w:div>
        <w:div w:id="1445465743">
          <w:marLeft w:val="446"/>
          <w:marRight w:val="0"/>
          <w:marTop w:val="80"/>
          <w:marBottom w:val="0"/>
          <w:divBdr>
            <w:top w:val="none" w:sz="0" w:space="0" w:color="auto"/>
            <w:left w:val="none" w:sz="0" w:space="0" w:color="auto"/>
            <w:bottom w:val="none" w:sz="0" w:space="0" w:color="auto"/>
            <w:right w:val="none" w:sz="0" w:space="0" w:color="auto"/>
          </w:divBdr>
        </w:div>
        <w:div w:id="43994273">
          <w:marLeft w:val="446"/>
          <w:marRight w:val="0"/>
          <w:marTop w:val="200"/>
          <w:marBottom w:val="0"/>
          <w:divBdr>
            <w:top w:val="none" w:sz="0" w:space="0" w:color="auto"/>
            <w:left w:val="none" w:sz="0" w:space="0" w:color="auto"/>
            <w:bottom w:val="none" w:sz="0" w:space="0" w:color="auto"/>
            <w:right w:val="none" w:sz="0" w:space="0" w:color="auto"/>
          </w:divBdr>
        </w:div>
        <w:div w:id="2072852105">
          <w:marLeft w:val="446"/>
          <w:marRight w:val="0"/>
          <w:marTop w:val="200"/>
          <w:marBottom w:val="0"/>
          <w:divBdr>
            <w:top w:val="none" w:sz="0" w:space="0" w:color="auto"/>
            <w:left w:val="none" w:sz="0" w:space="0" w:color="auto"/>
            <w:bottom w:val="none" w:sz="0" w:space="0" w:color="auto"/>
            <w:right w:val="none" w:sz="0" w:space="0" w:color="auto"/>
          </w:divBdr>
        </w:div>
        <w:div w:id="1672951384">
          <w:marLeft w:val="446"/>
          <w:marRight w:val="0"/>
          <w:marTop w:val="200"/>
          <w:marBottom w:val="0"/>
          <w:divBdr>
            <w:top w:val="none" w:sz="0" w:space="0" w:color="auto"/>
            <w:left w:val="none" w:sz="0" w:space="0" w:color="auto"/>
            <w:bottom w:val="none" w:sz="0" w:space="0" w:color="auto"/>
            <w:right w:val="none" w:sz="0" w:space="0" w:color="auto"/>
          </w:divBdr>
        </w:div>
        <w:div w:id="858466353">
          <w:marLeft w:val="446"/>
          <w:marRight w:val="0"/>
          <w:marTop w:val="200"/>
          <w:marBottom w:val="0"/>
          <w:divBdr>
            <w:top w:val="none" w:sz="0" w:space="0" w:color="auto"/>
            <w:left w:val="none" w:sz="0" w:space="0" w:color="auto"/>
            <w:bottom w:val="none" w:sz="0" w:space="0" w:color="auto"/>
            <w:right w:val="none" w:sz="0" w:space="0" w:color="auto"/>
          </w:divBdr>
        </w:div>
        <w:div w:id="2077508078">
          <w:marLeft w:val="446"/>
          <w:marRight w:val="0"/>
          <w:marTop w:val="200"/>
          <w:marBottom w:val="0"/>
          <w:divBdr>
            <w:top w:val="none" w:sz="0" w:space="0" w:color="auto"/>
            <w:left w:val="none" w:sz="0" w:space="0" w:color="auto"/>
            <w:bottom w:val="none" w:sz="0" w:space="0" w:color="auto"/>
            <w:right w:val="none" w:sz="0" w:space="0" w:color="auto"/>
          </w:divBdr>
        </w:div>
      </w:divsChild>
    </w:div>
    <w:div w:id="1816988536">
      <w:bodyDiv w:val="1"/>
      <w:marLeft w:val="0"/>
      <w:marRight w:val="0"/>
      <w:marTop w:val="0"/>
      <w:marBottom w:val="0"/>
      <w:divBdr>
        <w:top w:val="none" w:sz="0" w:space="0" w:color="auto"/>
        <w:left w:val="none" w:sz="0" w:space="0" w:color="auto"/>
        <w:bottom w:val="none" w:sz="0" w:space="0" w:color="auto"/>
        <w:right w:val="none" w:sz="0" w:space="0" w:color="auto"/>
      </w:divBdr>
      <w:divsChild>
        <w:div w:id="1682245018">
          <w:marLeft w:val="720"/>
          <w:marRight w:val="0"/>
          <w:marTop w:val="240"/>
          <w:marBottom w:val="0"/>
          <w:divBdr>
            <w:top w:val="none" w:sz="0" w:space="0" w:color="auto"/>
            <w:left w:val="none" w:sz="0" w:space="0" w:color="auto"/>
            <w:bottom w:val="none" w:sz="0" w:space="0" w:color="auto"/>
            <w:right w:val="none" w:sz="0" w:space="0" w:color="auto"/>
          </w:divBdr>
        </w:div>
        <w:div w:id="2004963700">
          <w:marLeft w:val="720"/>
          <w:marRight w:val="0"/>
          <w:marTop w:val="240"/>
          <w:marBottom w:val="0"/>
          <w:divBdr>
            <w:top w:val="none" w:sz="0" w:space="0" w:color="auto"/>
            <w:left w:val="none" w:sz="0" w:space="0" w:color="auto"/>
            <w:bottom w:val="none" w:sz="0" w:space="0" w:color="auto"/>
            <w:right w:val="none" w:sz="0" w:space="0" w:color="auto"/>
          </w:divBdr>
        </w:div>
        <w:div w:id="827523140">
          <w:marLeft w:val="720"/>
          <w:marRight w:val="0"/>
          <w:marTop w:val="240"/>
          <w:marBottom w:val="0"/>
          <w:divBdr>
            <w:top w:val="none" w:sz="0" w:space="0" w:color="auto"/>
            <w:left w:val="none" w:sz="0" w:space="0" w:color="auto"/>
            <w:bottom w:val="none" w:sz="0" w:space="0" w:color="auto"/>
            <w:right w:val="none" w:sz="0" w:space="0" w:color="auto"/>
          </w:divBdr>
        </w:div>
        <w:div w:id="1207910861">
          <w:marLeft w:val="720"/>
          <w:marRight w:val="0"/>
          <w:marTop w:val="240"/>
          <w:marBottom w:val="0"/>
          <w:divBdr>
            <w:top w:val="none" w:sz="0" w:space="0" w:color="auto"/>
            <w:left w:val="none" w:sz="0" w:space="0" w:color="auto"/>
            <w:bottom w:val="none" w:sz="0" w:space="0" w:color="auto"/>
            <w:right w:val="none" w:sz="0" w:space="0" w:color="auto"/>
          </w:divBdr>
        </w:div>
        <w:div w:id="1654064298">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CHRO/DiscriminationFlyerpd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sites/documents/LGBTFLYER.PDF" TargetMode="External"/><Relationship Id="rId5" Type="http://schemas.openxmlformats.org/officeDocument/2006/relationships/webSettings" Target="webSettings.xml"/><Relationship Id="rId10" Type="http://schemas.openxmlformats.org/officeDocument/2006/relationships/hyperlink" Target="https://www.hud.gov/sites/documents/LGBTFLYER.PDF" TargetMode="External"/><Relationship Id="rId4" Type="http://schemas.openxmlformats.org/officeDocument/2006/relationships/settings" Target="settings.xml"/><Relationship Id="rId9" Type="http://schemas.openxmlformats.org/officeDocument/2006/relationships/hyperlink" Target="https://www.hud.gov/sites/documents/LGBT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717B-1F89-354F-837E-BB8857AA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Abbilyn Miller</dc:creator>
  <cp:keywords/>
  <dc:description/>
  <cp:lastModifiedBy>Abbilyn Miller</cp:lastModifiedBy>
  <cp:revision>30</cp:revision>
  <dcterms:created xsi:type="dcterms:W3CDTF">2024-05-09T16:40:00Z</dcterms:created>
  <dcterms:modified xsi:type="dcterms:W3CDTF">2024-05-13T21:18:00Z</dcterms:modified>
</cp:coreProperties>
</file>