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3A5DD9" w:rsidRDefault="009D34A6">
      <w:pPr>
        <w:pStyle w:val="Heading1"/>
        <w:shd w:val="clear" w:color="auto" w:fill="FFFFFF"/>
        <w:jc w:val="center"/>
      </w:pPr>
      <w:bookmarkStart w:id="0" w:name="_wmwnfpir5rkq" w:colFirst="0" w:colLast="0"/>
      <w:bookmarkEnd w:id="0"/>
      <w:r>
        <w:t xml:space="preserve">HUD Continuum of Care NOFO Update: </w:t>
      </w:r>
      <w:r>
        <w:tab/>
        <w:t>Potential Opportunities</w:t>
      </w:r>
    </w:p>
    <w:p w14:paraId="00000004" w14:textId="77777777" w:rsidR="003A5DD9" w:rsidRDefault="003A5DD9">
      <w:pPr>
        <w:shd w:val="clear" w:color="auto" w:fill="FFFFFF"/>
        <w:rPr>
          <w:color w:val="222222"/>
        </w:rPr>
      </w:pPr>
    </w:p>
    <w:p w14:paraId="00000005" w14:textId="77777777" w:rsidR="003A5DD9" w:rsidRDefault="009D34A6" w:rsidP="66BDFD9D">
      <w:pPr>
        <w:shd w:val="clear" w:color="auto" w:fill="FFFFFF" w:themeFill="background1"/>
      </w:pPr>
      <w:r w:rsidRPr="66BDFD9D">
        <w:rPr>
          <w:b/>
          <w:bCs/>
          <w:lang w:val="en-US"/>
        </w:rPr>
        <w:t>Street Outreach projects (SO)</w:t>
      </w:r>
      <w:r w:rsidRPr="66BDFD9D">
        <w:rPr>
          <w:lang w:val="en-US"/>
        </w:rPr>
        <w:t xml:space="preserve">. Allows for non-facility based interventions with unsheltered individuals and families. Pending further information. See </w:t>
      </w:r>
      <w:hyperlink r:id="rId10" w:anchor="speed-up-transitions">
        <w:r w:rsidRPr="66BDFD9D">
          <w:rPr>
            <w:color w:val="1155CC"/>
            <w:u w:val="single"/>
            <w:lang w:val="en-US"/>
          </w:rPr>
          <w:t>NAEH research</w:t>
        </w:r>
      </w:hyperlink>
      <w:r w:rsidRPr="66BDFD9D">
        <w:rPr>
          <w:lang w:val="en-US"/>
        </w:rPr>
        <w:t xml:space="preserve"> for more info on how communities are investing in both SO and housing projects to facilitate move-ins to housing from unsheltered situations. Street Outreach will be limited to persons in HUD </w:t>
      </w:r>
      <w:hyperlink r:id="rId11">
        <w:r w:rsidRPr="66BDFD9D">
          <w:rPr>
            <w:color w:val="1155CC"/>
            <w:u w:val="single"/>
            <w:lang w:val="en-US"/>
          </w:rPr>
          <w:t>category 1</w:t>
        </w:r>
      </w:hyperlink>
      <w:r w:rsidRPr="66BDFD9D">
        <w:rPr>
          <w:lang w:val="en-US"/>
        </w:rPr>
        <w:t xml:space="preserve">, specifically who are living in unsheltered situations. </w:t>
      </w:r>
    </w:p>
    <w:p w14:paraId="00000006" w14:textId="77777777" w:rsidR="003A5DD9" w:rsidRDefault="003A5DD9">
      <w:pPr>
        <w:shd w:val="clear" w:color="auto" w:fill="FFFFFF"/>
      </w:pPr>
    </w:p>
    <w:p w14:paraId="00000007" w14:textId="77777777" w:rsidR="003A5DD9" w:rsidRDefault="009D34A6" w:rsidP="66BDFD9D">
      <w:pPr>
        <w:shd w:val="clear" w:color="auto" w:fill="FFFFFF" w:themeFill="background1"/>
        <w:rPr>
          <w:color w:val="222222"/>
          <w:lang w:val="en-US"/>
        </w:rPr>
      </w:pPr>
      <w:r w:rsidRPr="66BDFD9D">
        <w:rPr>
          <w:b/>
          <w:bCs/>
          <w:lang w:val="en-US"/>
        </w:rPr>
        <w:t>Transitional Housing (TH)</w:t>
      </w:r>
      <w:r w:rsidRPr="66BDFD9D">
        <w:rPr>
          <w:lang w:val="en-US"/>
        </w:rPr>
        <w:t xml:space="preserve">. Allows for up to 2 year intervention, generally but not always facility-based. TH's effectiveness is most pronounced as a targeted, time-limited intervention where a "bridge" to long-term stability is a </w:t>
      </w:r>
      <w:r w:rsidRPr="66BDFD9D">
        <w:rPr>
          <w:b/>
          <w:bCs/>
          <w:lang w:val="en-US"/>
        </w:rPr>
        <w:t>clinical</w:t>
      </w:r>
      <w:r w:rsidRPr="66BDFD9D">
        <w:rPr>
          <w:lang w:val="en-US"/>
        </w:rPr>
        <w:t xml:space="preserve"> or </w:t>
      </w:r>
      <w:r w:rsidRPr="66BDFD9D">
        <w:rPr>
          <w:b/>
          <w:bCs/>
          <w:lang w:val="en-US"/>
        </w:rPr>
        <w:t>developmental</w:t>
      </w:r>
      <w:r w:rsidRPr="66BDFD9D">
        <w:rPr>
          <w:lang w:val="en-US"/>
        </w:rPr>
        <w:t xml:space="preserve"> necessity. This includes specific youth demographics aging out of foster care, families fleeing domestic violence, and individuals in substance use recovery who prefer or require an abstinence-based, structured environment. For most families, homelessness is primarily an economic problem, and high-cost TH programs produce no better outcomes than less expensive interventions like rapid rehousing or long-term rental subsidies. Effective TH programs incorporate low-barrier admission policies, person-centered case management (such as the Critical Time Intervention model), and a robust, coordinated continuum of care. TH has not been shown to work for households who require ongoing support, as compared to permanent vouchers and PSH. </w:t>
      </w:r>
      <w:r w:rsidRPr="66BDFD9D">
        <w:rPr>
          <w:color w:val="222222"/>
          <w:lang w:val="en-US"/>
        </w:rPr>
        <w:t xml:space="preserve">Transitional Housing may be limited to </w:t>
      </w:r>
      <w:hyperlink r:id="rId12">
        <w:r w:rsidRPr="66BDFD9D">
          <w:rPr>
            <w:color w:val="1155CC"/>
            <w:u w:val="single"/>
            <w:lang w:val="en-US"/>
          </w:rPr>
          <w:t>category 1</w:t>
        </w:r>
      </w:hyperlink>
      <w:r w:rsidRPr="66BDFD9D">
        <w:rPr>
          <w:color w:val="222222"/>
          <w:lang w:val="en-US"/>
        </w:rPr>
        <w:t xml:space="preserve"> and </w:t>
      </w:r>
      <w:hyperlink r:id="rId13">
        <w:r w:rsidRPr="66BDFD9D">
          <w:rPr>
            <w:color w:val="1155CC"/>
            <w:u w:val="single"/>
            <w:lang w:val="en-US"/>
          </w:rPr>
          <w:t>category 4</w:t>
        </w:r>
      </w:hyperlink>
      <w:r w:rsidRPr="66BDFD9D">
        <w:rPr>
          <w:color w:val="222222"/>
          <w:lang w:val="en-US"/>
        </w:rPr>
        <w:t xml:space="preserve"> of the homeless definition. VTBoS may consider including </w:t>
      </w:r>
      <w:hyperlink r:id="rId14">
        <w:r w:rsidRPr="66BDFD9D">
          <w:rPr>
            <w:color w:val="1155CC"/>
            <w:u w:val="single"/>
            <w:lang w:val="en-US"/>
          </w:rPr>
          <w:t>category 2</w:t>
        </w:r>
      </w:hyperlink>
      <w:r w:rsidRPr="66BDFD9D">
        <w:rPr>
          <w:lang w:val="en-US"/>
        </w:rPr>
        <w:t xml:space="preserve">. </w:t>
      </w:r>
    </w:p>
    <w:p w14:paraId="00000008" w14:textId="77777777" w:rsidR="003A5DD9" w:rsidRDefault="009D34A6">
      <w:pPr>
        <w:numPr>
          <w:ilvl w:val="0"/>
          <w:numId w:val="1"/>
        </w:numPr>
        <w:spacing w:before="240"/>
      </w:pPr>
      <w:r w:rsidRPr="66BDFD9D">
        <w:rPr>
          <w:b/>
          <w:bCs/>
          <w:lang w:val="en-US"/>
        </w:rPr>
        <w:t>Population.</w:t>
      </w:r>
      <w:r w:rsidRPr="66BDFD9D">
        <w:rPr>
          <w:lang w:val="en-US"/>
        </w:rPr>
        <w:t xml:space="preserve"> TH is most effective as a specialized, targeted intervention. Its value is highest when a time-limited, intensive, and structured environment is a clinical necessity or a developmental bridge, as is the case for youth aging out of foster care, families escaping domestic violence, or individuals who specifically choose an abstinence-based recovery model. For youth and young adults, transitional housing appears to be a particularly effective and developmentally-appropriate model. For this population, TH serves as a crucial "bridge from homelessness to lifelong stability," providing a stable place to live while they complete their education, obtain employment, and develop essential life skills. This includes minors, young adults who are pregnant or parenting, and those aging out of the foster care system.</w:t>
      </w:r>
    </w:p>
    <w:p w14:paraId="00000009" w14:textId="77777777" w:rsidR="003A5DD9" w:rsidRDefault="009D34A6">
      <w:pPr>
        <w:numPr>
          <w:ilvl w:val="0"/>
          <w:numId w:val="1"/>
        </w:numPr>
        <w:spacing w:after="240"/>
      </w:pPr>
      <w:r w:rsidRPr="66BDFD9D">
        <w:rPr>
          <w:b/>
          <w:bCs/>
          <w:lang w:val="en-US"/>
        </w:rPr>
        <w:t xml:space="preserve">Service Design. </w:t>
      </w:r>
      <w:r w:rsidRPr="66BDFD9D">
        <w:rPr>
          <w:lang w:val="en-US"/>
        </w:rPr>
        <w:t>One of the most promising and empirically supported case management models is Critical Time Intervention (CTI). CTI is a time-limited, phase-based approach designed to prevent homelessness in people with mental illness following discharge from hospitals, shelters, prisons, and other institutions. The model is highly focused and lasts for nine months after a person is placed into housing. CTI works by mobilizing and strengthening an individual's long-term ties to services, family, and friends during the critical period of transition, with the goal of ensuring these supports remain in place after the intervention ends. The success of CTI, even after the intervention concludes, demonstrates a crucial principle: long-term stability is not dependent on a permanent in-house support system but on the existence of a durable community support network. This provides a compelling alternative to long-term TH for certain populations.</w:t>
      </w:r>
    </w:p>
    <w:p w14:paraId="0000000A" w14:textId="77777777" w:rsidR="003A5DD9" w:rsidRDefault="009D34A6" w:rsidP="66BDFD9D">
      <w:pPr>
        <w:shd w:val="clear" w:color="auto" w:fill="FFFFFF" w:themeFill="background1"/>
      </w:pPr>
      <w:hyperlink r:id="rId15">
        <w:r w:rsidRPr="66BDFD9D">
          <w:rPr>
            <w:b/>
            <w:bCs/>
            <w:color w:val="1155CC"/>
            <w:u w:val="single"/>
            <w:lang w:val="en-US"/>
          </w:rPr>
          <w:t>Joint Transitional Housing - Rapid Rehousing</w:t>
        </w:r>
      </w:hyperlink>
      <w:r w:rsidRPr="66BDFD9D">
        <w:rPr>
          <w:b/>
          <w:bCs/>
          <w:lang w:val="en-US"/>
        </w:rPr>
        <w:t xml:space="preserve"> (TH-RRH)</w:t>
      </w:r>
      <w:r w:rsidRPr="66BDFD9D">
        <w:rPr>
          <w:lang w:val="en-US"/>
        </w:rPr>
        <w:t xml:space="preserve">. Allows programs to work with individuals and families for up to 2 years total, offering both types of assistance. The strength of this type of project is being able to attach vouchers and services to assist people to exit Transitional Housing to a unit that is subsidized with Rapid Rehousing. While both TH and RRH each have a time limit of two years, this joint project allows for two years total, not for each intervention. Applicants could apply for just one part of the project if they already operate the other part with funding from a different source, e.g., just leasing for TH or just rental assistance and services for RRH. See </w:t>
      </w:r>
      <w:hyperlink r:id="rId16">
        <w:r w:rsidRPr="66BDFD9D">
          <w:rPr>
            <w:color w:val="1155CC"/>
            <w:u w:val="single"/>
            <w:lang w:val="en-US"/>
          </w:rPr>
          <w:t>NAEH training</w:t>
        </w:r>
      </w:hyperlink>
      <w:r w:rsidRPr="66BDFD9D">
        <w:rPr>
          <w:lang w:val="en-US"/>
        </w:rPr>
        <w:t xml:space="preserve"> for more info. </w:t>
      </w:r>
      <w:r w:rsidRPr="66BDFD9D">
        <w:rPr>
          <w:color w:val="222222"/>
          <w:lang w:val="en-US"/>
        </w:rPr>
        <w:t xml:space="preserve">Joint TH-RRH may be limited to </w:t>
      </w:r>
      <w:hyperlink r:id="rId17">
        <w:r w:rsidRPr="66BDFD9D">
          <w:rPr>
            <w:color w:val="1155CC"/>
            <w:u w:val="single"/>
            <w:lang w:val="en-US"/>
          </w:rPr>
          <w:t>category 1</w:t>
        </w:r>
      </w:hyperlink>
      <w:r w:rsidRPr="66BDFD9D">
        <w:rPr>
          <w:color w:val="222222"/>
          <w:lang w:val="en-US"/>
        </w:rPr>
        <w:t xml:space="preserve"> and </w:t>
      </w:r>
      <w:hyperlink r:id="rId18">
        <w:r w:rsidRPr="66BDFD9D">
          <w:rPr>
            <w:color w:val="1155CC"/>
            <w:u w:val="single"/>
            <w:lang w:val="en-US"/>
          </w:rPr>
          <w:t>category 4</w:t>
        </w:r>
      </w:hyperlink>
      <w:r w:rsidRPr="66BDFD9D">
        <w:rPr>
          <w:color w:val="222222"/>
          <w:lang w:val="en-US"/>
        </w:rPr>
        <w:t xml:space="preserve"> of the homeless definition. VTBoS may consider including </w:t>
      </w:r>
      <w:hyperlink r:id="rId19">
        <w:r w:rsidRPr="66BDFD9D">
          <w:rPr>
            <w:color w:val="1155CC"/>
            <w:u w:val="single"/>
            <w:lang w:val="en-US"/>
          </w:rPr>
          <w:t>category 2</w:t>
        </w:r>
      </w:hyperlink>
      <w:r w:rsidRPr="66BDFD9D">
        <w:rPr>
          <w:lang w:val="en-US"/>
        </w:rPr>
        <w:t xml:space="preserve">. </w:t>
      </w:r>
    </w:p>
    <w:p w14:paraId="0000000B" w14:textId="77777777" w:rsidR="003A5DD9" w:rsidRDefault="003A5DD9">
      <w:pPr>
        <w:shd w:val="clear" w:color="auto" w:fill="FFFFFF"/>
      </w:pPr>
    </w:p>
    <w:p w14:paraId="0000000C" w14:textId="087F79CE" w:rsidR="003A5DD9" w:rsidRPr="004052F8" w:rsidRDefault="004052F8">
      <w:pPr>
        <w:rPr>
          <w:b/>
          <w:bCs/>
          <w:i/>
          <w:iCs/>
          <w:u w:val="single"/>
        </w:rPr>
      </w:pPr>
      <w:r w:rsidRPr="004052F8">
        <w:rPr>
          <w:b/>
          <w:bCs/>
          <w:i/>
          <w:iCs/>
          <w:u w:val="single"/>
        </w:rPr>
        <w:t>This is not likely to be an allowable new project:</w:t>
      </w:r>
    </w:p>
    <w:p w14:paraId="009F3E44" w14:textId="77777777" w:rsidR="004052F8" w:rsidRDefault="004052F8"/>
    <w:p w14:paraId="19A69090" w14:textId="77777777" w:rsidR="004052F8" w:rsidRDefault="004052F8" w:rsidP="004052F8">
      <w:pPr>
        <w:shd w:val="clear" w:color="auto" w:fill="FFFFFF" w:themeFill="background1"/>
        <w:rPr>
          <w:color w:val="222222"/>
          <w:lang w:val="en-US"/>
        </w:rPr>
      </w:pPr>
      <w:r w:rsidRPr="66BDFD9D">
        <w:rPr>
          <w:b/>
          <w:bCs/>
          <w:color w:val="222222"/>
          <w:lang w:val="en-US"/>
        </w:rPr>
        <w:t xml:space="preserve">Rapid Rehousing (RRH). </w:t>
      </w:r>
      <w:r w:rsidRPr="66BDFD9D">
        <w:rPr>
          <w:color w:val="222222"/>
          <w:lang w:val="en-US"/>
        </w:rPr>
        <w:t xml:space="preserve">Allows for up to 2 year intervention, including rental assistance and services. The Administration has signaled an emphasis on employment and self-sufficiency, both of which are key elements of the RRH model, particularly when the employment services are focused on increasing earned income by the end of the 2 year intervention, so that households can stably continue to reside in their housing. The CoC opportunity will align with VT HOP Rapid Rehousing standards but may advance more specific practices to advance the kind of program models that the CoC deems priority for this NOFO. Promising practice in Hawaii and Connecticut Balance of State is to structure the RRH intervention such that the increase in rent contribution is set as a percentage of the total rent, independent of what they are or are not earning, to incentivize finding the lowest cost unit and earn more since contribution is tied to rent, not income. Example: 1-3 months 0% of rent; 4-6 months 25% of rent; 7-12 months 50% of rent; 13-18 months 75% of rent. Rapid Rehousing has in the past been limited to only </w:t>
      </w:r>
      <w:hyperlink r:id="rId20">
        <w:r w:rsidRPr="66BDFD9D">
          <w:rPr>
            <w:color w:val="1155CC"/>
            <w:u w:val="single"/>
            <w:lang w:val="en-US"/>
          </w:rPr>
          <w:t>category 1</w:t>
        </w:r>
      </w:hyperlink>
      <w:r w:rsidRPr="66BDFD9D">
        <w:rPr>
          <w:color w:val="222222"/>
          <w:lang w:val="en-US"/>
        </w:rPr>
        <w:t xml:space="preserve"> and </w:t>
      </w:r>
      <w:hyperlink r:id="rId21">
        <w:r w:rsidRPr="66BDFD9D">
          <w:rPr>
            <w:color w:val="1155CC"/>
            <w:u w:val="single"/>
            <w:lang w:val="en-US"/>
          </w:rPr>
          <w:t>category 4</w:t>
        </w:r>
      </w:hyperlink>
      <w:r w:rsidRPr="66BDFD9D">
        <w:rPr>
          <w:color w:val="222222"/>
          <w:lang w:val="en-US"/>
        </w:rPr>
        <w:t xml:space="preserve"> of the homeless definition; however, in some years, HUD has allowed households in </w:t>
      </w:r>
      <w:hyperlink r:id="rId22">
        <w:r w:rsidRPr="66BDFD9D">
          <w:rPr>
            <w:color w:val="1155CC"/>
            <w:u w:val="single"/>
            <w:lang w:val="en-US"/>
          </w:rPr>
          <w:t>category 2</w:t>
        </w:r>
      </w:hyperlink>
      <w:r w:rsidRPr="66BDFD9D">
        <w:rPr>
          <w:color w:val="222222"/>
          <w:lang w:val="en-US"/>
        </w:rPr>
        <w:t xml:space="preserve"> to be included as an eligible population. VTBoS may consider including </w:t>
      </w:r>
      <w:hyperlink r:id="rId23">
        <w:r w:rsidRPr="66BDFD9D">
          <w:rPr>
            <w:color w:val="1155CC"/>
            <w:u w:val="single"/>
            <w:lang w:val="en-US"/>
          </w:rPr>
          <w:t>category 2</w:t>
        </w:r>
      </w:hyperlink>
      <w:r w:rsidRPr="66BDFD9D">
        <w:rPr>
          <w:lang w:val="en-US"/>
        </w:rPr>
        <w:t xml:space="preserve">. </w:t>
      </w:r>
      <w:r w:rsidRPr="66BDFD9D">
        <w:rPr>
          <w:color w:val="222222"/>
          <w:lang w:val="en-US"/>
        </w:rPr>
        <w:t xml:space="preserve"> </w:t>
      </w:r>
    </w:p>
    <w:p w14:paraId="26976912" w14:textId="77777777" w:rsidR="004052F8" w:rsidRDefault="004052F8"/>
    <w:sectPr w:rsidR="004052F8">
      <w:headerReference w:type="default" r:id="rId24"/>
      <w:footerReference w:type="default" r:id="rId2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A14DE" w14:textId="77777777" w:rsidR="009D34A6" w:rsidRDefault="009D34A6">
      <w:pPr>
        <w:spacing w:line="240" w:lineRule="auto"/>
      </w:pPr>
      <w:r>
        <w:separator/>
      </w:r>
    </w:p>
  </w:endnote>
  <w:endnote w:type="continuationSeparator" w:id="0">
    <w:p w14:paraId="747DA0E3" w14:textId="77777777" w:rsidR="009D34A6" w:rsidRDefault="009D34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0E" w14:textId="6476EB3C" w:rsidR="003A5DD9" w:rsidRDefault="009D34A6">
    <w:pPr>
      <w:ind w:left="8640" w:firstLine="720"/>
    </w:pPr>
    <w:r>
      <w:fldChar w:fldCharType="begin"/>
    </w:r>
    <w:r>
      <w:instrText>PAGE</w:instrText>
    </w:r>
    <w:r>
      <w:fldChar w:fldCharType="separate"/>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F8895" w14:textId="77777777" w:rsidR="009D34A6" w:rsidRDefault="009D34A6">
      <w:pPr>
        <w:spacing w:line="240" w:lineRule="auto"/>
      </w:pPr>
      <w:r>
        <w:separator/>
      </w:r>
    </w:p>
  </w:footnote>
  <w:footnote w:type="continuationSeparator" w:id="0">
    <w:p w14:paraId="3D37A91D" w14:textId="77777777" w:rsidR="009D34A6" w:rsidRDefault="009D34A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0D" w14:textId="77777777" w:rsidR="003A5DD9" w:rsidRDefault="009D34A6">
    <w:r>
      <w:t>Drafted by Housing Innovations</w:t>
    </w:r>
    <w:r>
      <w:tab/>
    </w:r>
    <w:r>
      <w:tab/>
    </w:r>
    <w:r>
      <w:tab/>
    </w:r>
    <w:r>
      <w:tab/>
    </w:r>
    <w:r>
      <w:tab/>
    </w:r>
    <w:r>
      <w:tab/>
      <w:t>September 15,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048C2"/>
    <w:multiLevelType w:val="multilevel"/>
    <w:tmpl w:val="FFFFFFFF"/>
    <w:lvl w:ilvl="0">
      <w:start w:val="1"/>
      <w:numFmt w:val="bullet"/>
      <w:lvlText w:val="●"/>
      <w:lvlJc w:val="left"/>
      <w:pPr>
        <w:ind w:left="720" w:hanging="360"/>
      </w:pPr>
      <w:rPr>
        <w:rFonts w:ascii="Arial" w:eastAsia="Arial" w:hAnsi="Arial" w:cs="Arial"/>
        <w:color w:val="2222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3724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DD9"/>
    <w:rsid w:val="00171383"/>
    <w:rsid w:val="001C27B1"/>
    <w:rsid w:val="00363267"/>
    <w:rsid w:val="003A5DD9"/>
    <w:rsid w:val="004052F8"/>
    <w:rsid w:val="00423B27"/>
    <w:rsid w:val="004C7A81"/>
    <w:rsid w:val="009D34A6"/>
    <w:rsid w:val="00B924E4"/>
    <w:rsid w:val="00DC0024"/>
    <w:rsid w:val="66BDFD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94C6EED"/>
  <w15:docId w15:val="{2C5497D5-7CD9-4617-A6AE-DED30AB11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semiHidden/>
    <w:unhideWhenUsed/>
    <w:rsid w:val="004C7A81"/>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4C7A81"/>
  </w:style>
  <w:style w:type="paragraph" w:styleId="Footer">
    <w:name w:val="footer"/>
    <w:basedOn w:val="Normal"/>
    <w:link w:val="FooterChar"/>
    <w:uiPriority w:val="99"/>
    <w:semiHidden/>
    <w:unhideWhenUsed/>
    <w:rsid w:val="004C7A81"/>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4C7A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udexchange.info/homelessness-assistance/coc-esg-virtual-binders/coc-esg-homeless-eligibility/four-categories/category-4/" TargetMode="External"/><Relationship Id="rId18" Type="http://schemas.openxmlformats.org/officeDocument/2006/relationships/hyperlink" Target="https://www.hudexchange.info/homelessness-assistance/coc-esg-virtual-binders/coc-esg-homeless-eligibility/four-categories/category-4/"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hudexchange.info/homelessness-assistance/coc-esg-virtual-binders/coc-esg-homeless-eligibility/four-categories/category-4/" TargetMode="External"/><Relationship Id="rId7" Type="http://schemas.openxmlformats.org/officeDocument/2006/relationships/webSettings" Target="webSettings.xml"/><Relationship Id="rId12" Type="http://schemas.openxmlformats.org/officeDocument/2006/relationships/hyperlink" Target="https://www.hudexchange.info/homelessness-assistance/coc-esg-virtual-binders/coc-esg-homeless-eligibility/four-categories/category-1/" TargetMode="External"/><Relationship Id="rId17" Type="http://schemas.openxmlformats.org/officeDocument/2006/relationships/hyperlink" Target="https://www.hudexchange.info/homelessness-assistance/coc-esg-virtual-binders/coc-esg-homeless-eligibility/four-categories/category-1/"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ndhomelessness.org/wp-content/uploads/2024/08/8.15.24-WebinarSlides_THRRH.pdf" TargetMode="External"/><Relationship Id="rId20" Type="http://schemas.openxmlformats.org/officeDocument/2006/relationships/hyperlink" Target="https://www.hudexchange.info/homelessness-assistance/coc-esg-virtual-binders/coc-esg-homeless-eligibility/four-categories/category-1/"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udexchange.info/homelessness-assistance/coc-esg-virtual-binders/coc-esg-homeless-eligibility/four-categories/category-1/"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hudexchange.info/faqs/3250/what-is-a-joint-th-and-ph-rrh-component-project/" TargetMode="External"/><Relationship Id="rId23" Type="http://schemas.openxmlformats.org/officeDocument/2006/relationships/hyperlink" Target="https://www.hudexchange.info/homelessness-assistance/coc-esg-virtual-binders/coc-esg-homeless-eligibility/four-categories/category-2/" TargetMode="External"/><Relationship Id="rId10" Type="http://schemas.openxmlformats.org/officeDocument/2006/relationships/hyperlink" Target="https://endhomelessness.org/resources/research-and-analysis/new-federal-funding-boosts-unsheltered-homelessness-response/" TargetMode="External"/><Relationship Id="rId19" Type="http://schemas.openxmlformats.org/officeDocument/2006/relationships/hyperlink" Target="https://www.hudexchange.info/homelessness-assistance/coc-esg-virtual-binders/coc-esg-homeless-eligibility/four-categories/category-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udexchange.info/homelessness-assistance/coc-esg-virtual-binders/coc-esg-homeless-eligibility/four-categories/category-2/" TargetMode="External"/><Relationship Id="rId22" Type="http://schemas.openxmlformats.org/officeDocument/2006/relationships/hyperlink" Target="https://www.hudexchange.info/homelessness-assistance/coc-esg-virtual-binders/coc-esg-homeless-eligibility/four-categories/category-2/"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1587251-010f-4251-9cd5-905b251ef260">
      <Terms xmlns="http://schemas.microsoft.com/office/infopath/2007/PartnerControls"/>
    </lcf76f155ced4ddcb4097134ff3c332f>
    <TaxCatchAll xmlns="9418ad85-047b-4376-89e2-0946c69418b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17374BC59B2EF4190F98E73C556D75D" ma:contentTypeVersion="19" ma:contentTypeDescription="Create a new document." ma:contentTypeScope="" ma:versionID="5495a12f1cb7fd30cd3742f5ccb31901">
  <xsd:schema xmlns:xsd="http://www.w3.org/2001/XMLSchema" xmlns:xs="http://www.w3.org/2001/XMLSchema" xmlns:p="http://schemas.microsoft.com/office/2006/metadata/properties" xmlns:ns2="91587251-010f-4251-9cd5-905b251ef260" xmlns:ns3="9418ad85-047b-4376-89e2-0946c69418be" targetNamespace="http://schemas.microsoft.com/office/2006/metadata/properties" ma:root="true" ma:fieldsID="96c104d2d5311ddb181cc5d4f618a88c" ns2:_="" ns3:_="">
    <xsd:import namespace="91587251-010f-4251-9cd5-905b251ef260"/>
    <xsd:import namespace="9418ad85-047b-4376-89e2-0946c69418b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TaxCatchAll" minOccurs="0"/>
                <xsd:element ref="ns2:MediaServiceLocation" minOccurs="0"/>
                <xsd:element ref="ns2:MediaServiceGenerationTime" minOccurs="0"/>
                <xsd:element ref="ns2:MediaServiceEventHashCode" minOccurs="0"/>
                <xsd:element ref="ns2:lcf76f155ced4ddcb4097134ff3c332f"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587251-010f-4251-9cd5-905b251ef2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8d9269-ba81-4353-9704-2261421b28d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18ad85-047b-4376-89e2-0946c69418b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b65782-b31e-467b-998c-5cb989c39e16}" ma:internalName="TaxCatchAll" ma:showField="CatchAllData" ma:web="9418ad85-047b-4376-89e2-0946c69418b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F4D446-F256-48BA-B6CE-81267A4453FF}">
  <ds:schemaRefs>
    <ds:schemaRef ds:uri="http://schemas.microsoft.com/office/2006/metadata/properties"/>
    <ds:schemaRef ds:uri="http://schemas.microsoft.com/office/infopath/2007/PartnerControls"/>
    <ds:schemaRef ds:uri="91587251-010f-4251-9cd5-905b251ef260"/>
    <ds:schemaRef ds:uri="9418ad85-047b-4376-89e2-0946c69418be"/>
  </ds:schemaRefs>
</ds:datastoreItem>
</file>

<file path=customXml/itemProps2.xml><?xml version="1.0" encoding="utf-8"?>
<ds:datastoreItem xmlns:ds="http://schemas.openxmlformats.org/officeDocument/2006/customXml" ds:itemID="{8D5B90EF-14A4-44EE-A07A-64AA15ED16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587251-010f-4251-9cd5-905b251ef260"/>
    <ds:schemaRef ds:uri="9418ad85-047b-4376-89e2-0946c6941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275EFF-43FF-4CCE-BB4E-9D745B5CD0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1142</Words>
  <Characters>6516</Characters>
  <Application>Microsoft Office Word</Application>
  <DocSecurity>4</DocSecurity>
  <Lines>54</Lines>
  <Paragraphs>15</Paragraphs>
  <ScaleCrop>false</ScaleCrop>
  <Company/>
  <LinksUpToDate>false</LinksUpToDate>
  <CharactersWithSpaces>7643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Shimko</dc:creator>
  <cp:keywords/>
  <cp:lastModifiedBy>Grace Shyer</cp:lastModifiedBy>
  <cp:revision>4</cp:revision>
  <dcterms:created xsi:type="dcterms:W3CDTF">2025-10-23T21:41:00Z</dcterms:created>
  <dcterms:modified xsi:type="dcterms:W3CDTF">2025-10-24T14:57:00Z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0x010100017374BC59B2EF4190F98E73C556D75D</vt:lpwstr>
  </property>
  <property fmtid="{D5CDD505-2E9C-101B-9397-08002B2CF9AE}" pid="3" name="MediaServiceImageTags">
    <vt:lpwstr/>
  </property>
</Properties>
</file>